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left="8240"/>
      </w:pPr>
      <w:r>
        <w:rPr>
          <w:spacing w:val="-2"/>
        </w:rPr>
        <w:t>06.27</w:t>
      </w:r>
    </w:p>
    <w:p>
      <w:pPr>
        <w:pStyle w:val="BodyText"/>
        <w:spacing w:before="6"/>
        <w:ind w:left="846" w:right="1170"/>
        <w:jc w:val="center"/>
      </w:pPr>
      <w:r>
        <w:rPr/>
        <w:t>Indiana</w:t>
      </w:r>
      <w:r>
        <w:rPr>
          <w:spacing w:val="-7"/>
        </w:rPr>
        <w:t> </w:t>
      </w:r>
      <w:r>
        <w:rPr/>
        <w:t>University</w:t>
      </w:r>
      <w:r>
        <w:rPr>
          <w:spacing w:val="-8"/>
        </w:rPr>
        <w:t> </w:t>
      </w:r>
      <w:r>
        <w:rPr/>
        <w:t>Bloomington</w:t>
      </w:r>
      <w:r>
        <w:rPr>
          <w:spacing w:val="-5"/>
        </w:rPr>
        <w:t> </w:t>
      </w:r>
      <w:r>
        <w:rPr/>
        <w:t>School</w:t>
      </w:r>
      <w:r>
        <w:rPr>
          <w:spacing w:val="-8"/>
        </w:rPr>
        <w:t> </w:t>
      </w:r>
      <w:r>
        <w:rPr/>
        <w:t>of</w:t>
      </w:r>
      <w:r>
        <w:rPr>
          <w:spacing w:val="-6"/>
        </w:rPr>
        <w:t> </w:t>
      </w:r>
      <w:r>
        <w:rPr/>
        <w:t>Education</w:t>
      </w:r>
      <w:r>
        <w:rPr>
          <w:spacing w:val="-9"/>
        </w:rPr>
        <w:t> </w:t>
      </w:r>
      <w:r>
        <w:rPr/>
        <w:t>Office</w:t>
      </w:r>
      <w:r>
        <w:rPr>
          <w:spacing w:val="-8"/>
        </w:rPr>
        <w:t> </w:t>
      </w:r>
      <w:r>
        <w:rPr/>
        <w:t>of</w:t>
      </w:r>
      <w:r>
        <w:rPr>
          <w:spacing w:val="-6"/>
        </w:rPr>
        <w:t> </w:t>
      </w:r>
      <w:r>
        <w:rPr/>
        <w:t>Teacher</w:t>
      </w:r>
      <w:r>
        <w:rPr>
          <w:spacing w:val="-8"/>
        </w:rPr>
        <w:t> </w:t>
      </w:r>
      <w:r>
        <w:rPr>
          <w:spacing w:val="-2"/>
        </w:rPr>
        <w:t>Education</w:t>
      </w:r>
    </w:p>
    <w:p>
      <w:pPr>
        <w:pStyle w:val="BodyText"/>
        <w:rPr>
          <w:sz w:val="22"/>
        </w:rPr>
      </w:pPr>
    </w:p>
    <w:p>
      <w:pPr>
        <w:pStyle w:val="BodyText"/>
        <w:spacing w:before="5"/>
        <w:rPr>
          <w:sz w:val="17"/>
        </w:rPr>
      </w:pPr>
    </w:p>
    <w:p>
      <w:pPr>
        <w:pStyle w:val="Heading1"/>
        <w:ind w:left="2565" w:right="2825"/>
        <w:jc w:val="center"/>
      </w:pPr>
      <w:r>
        <w:rPr/>
        <w:t>Grade</w:t>
      </w:r>
      <w:r>
        <w:rPr>
          <w:spacing w:val="-14"/>
        </w:rPr>
        <w:t> </w:t>
      </w:r>
      <w:r>
        <w:rPr/>
        <w:t>Point</w:t>
      </w:r>
      <w:r>
        <w:rPr>
          <w:spacing w:val="-14"/>
        </w:rPr>
        <w:t> </w:t>
      </w:r>
      <w:r>
        <w:rPr/>
        <w:t>Average</w:t>
      </w:r>
      <w:r>
        <w:rPr>
          <w:spacing w:val="-14"/>
        </w:rPr>
        <w:t> </w:t>
      </w:r>
      <w:r>
        <w:rPr/>
        <w:t>Recommendation Undergraduate Programs</w:t>
      </w:r>
    </w:p>
    <w:p>
      <w:pPr>
        <w:pStyle w:val="BodyText"/>
        <w:spacing w:before="10"/>
        <w:rPr>
          <w:b/>
          <w:sz w:val="19"/>
        </w:rPr>
      </w:pPr>
    </w:p>
    <w:p>
      <w:pPr>
        <w:spacing w:before="1"/>
        <w:ind w:left="100" w:right="0" w:firstLine="0"/>
        <w:jc w:val="left"/>
        <w:rPr>
          <w:b/>
          <w:sz w:val="20"/>
        </w:rPr>
      </w:pPr>
      <w:r>
        <w:rPr>
          <w:b/>
          <w:spacing w:val="-2"/>
          <w:sz w:val="20"/>
          <w:u w:val="thick"/>
        </w:rPr>
        <w:t>Introduction</w:t>
      </w:r>
    </w:p>
    <w:p>
      <w:pPr>
        <w:pStyle w:val="BodyText"/>
        <w:spacing w:before="2"/>
        <w:rPr>
          <w:b/>
          <w:sz w:val="12"/>
        </w:rPr>
      </w:pPr>
    </w:p>
    <w:p>
      <w:pPr>
        <w:pStyle w:val="BodyText"/>
        <w:spacing w:before="93"/>
        <w:ind w:left="100" w:right="413"/>
      </w:pPr>
      <w:r>
        <w:rPr/>
        <w:t>Presently</w:t>
      </w:r>
      <w:r>
        <w:rPr>
          <w:spacing w:val="-5"/>
        </w:rPr>
        <w:t> </w:t>
      </w:r>
      <w:r>
        <w:rPr/>
        <w:t>the</w:t>
      </w:r>
      <w:r>
        <w:rPr>
          <w:spacing w:val="-2"/>
        </w:rPr>
        <w:t> </w:t>
      </w:r>
      <w:r>
        <w:rPr/>
        <w:t>Office</w:t>
      </w:r>
      <w:r>
        <w:rPr>
          <w:spacing w:val="-4"/>
        </w:rPr>
        <w:t> </w:t>
      </w:r>
      <w:r>
        <w:rPr/>
        <w:t>of</w:t>
      </w:r>
      <w:r>
        <w:rPr>
          <w:spacing w:val="-4"/>
        </w:rPr>
        <w:t> </w:t>
      </w:r>
      <w:r>
        <w:rPr/>
        <w:t>Teacher</w:t>
      </w:r>
      <w:r>
        <w:rPr>
          <w:spacing w:val="-3"/>
        </w:rPr>
        <w:t> </w:t>
      </w:r>
      <w:r>
        <w:rPr/>
        <w:t>Education</w:t>
      </w:r>
      <w:r>
        <w:rPr>
          <w:spacing w:val="-5"/>
        </w:rPr>
        <w:t> </w:t>
      </w:r>
      <w:r>
        <w:rPr/>
        <w:t>(OTE)</w:t>
      </w:r>
      <w:r>
        <w:rPr>
          <w:spacing w:val="-3"/>
        </w:rPr>
        <w:t> </w:t>
      </w:r>
      <w:r>
        <w:rPr/>
        <w:t>manages</w:t>
      </w:r>
      <w:r>
        <w:rPr>
          <w:spacing w:val="-3"/>
        </w:rPr>
        <w:t> </w:t>
      </w:r>
      <w:r>
        <w:rPr/>
        <w:t>an</w:t>
      </w:r>
      <w:r>
        <w:rPr>
          <w:spacing w:val="-4"/>
        </w:rPr>
        <w:t> </w:t>
      </w:r>
      <w:r>
        <w:rPr/>
        <w:t>array</w:t>
      </w:r>
      <w:r>
        <w:rPr>
          <w:spacing w:val="-7"/>
        </w:rPr>
        <w:t> </w:t>
      </w:r>
      <w:r>
        <w:rPr/>
        <w:t>of</w:t>
      </w:r>
      <w:r>
        <w:rPr>
          <w:spacing w:val="-2"/>
        </w:rPr>
        <w:t> </w:t>
      </w:r>
      <w:r>
        <w:rPr/>
        <w:t>practices</w:t>
      </w:r>
      <w:r>
        <w:rPr>
          <w:spacing w:val="-1"/>
        </w:rPr>
        <w:t> </w:t>
      </w:r>
      <w:r>
        <w:rPr/>
        <w:t>in</w:t>
      </w:r>
      <w:r>
        <w:rPr>
          <w:spacing w:val="-4"/>
        </w:rPr>
        <w:t> </w:t>
      </w:r>
      <w:r>
        <w:rPr/>
        <w:t>the</w:t>
      </w:r>
      <w:r>
        <w:rPr>
          <w:spacing w:val="-2"/>
        </w:rPr>
        <w:t> </w:t>
      </w:r>
      <w:r>
        <w:rPr/>
        <w:t>calculation of students’ grade point averages (G.P.A.) to meet individual program and degree requirements. These practices and program specific approaches have accumulated over time, and the OTE made the decision to review current practices and thus to pose to the faculty of the undergraduate</w:t>
      </w:r>
      <w:r>
        <w:rPr>
          <w:spacing w:val="-4"/>
        </w:rPr>
        <w:t> </w:t>
      </w:r>
      <w:r>
        <w:rPr/>
        <w:t>programs</w:t>
      </w:r>
      <w:r>
        <w:rPr>
          <w:spacing w:val="-4"/>
        </w:rPr>
        <w:t> </w:t>
      </w:r>
      <w:r>
        <w:rPr/>
        <w:t>recommendations</w:t>
      </w:r>
      <w:r>
        <w:rPr>
          <w:spacing w:val="-4"/>
        </w:rPr>
        <w:t> </w:t>
      </w:r>
      <w:r>
        <w:rPr/>
        <w:t>to</w:t>
      </w:r>
      <w:r>
        <w:rPr>
          <w:spacing w:val="-6"/>
        </w:rPr>
        <w:t> </w:t>
      </w:r>
      <w:r>
        <w:rPr/>
        <w:t>reinforce</w:t>
      </w:r>
      <w:r>
        <w:rPr>
          <w:spacing w:val="-5"/>
        </w:rPr>
        <w:t> </w:t>
      </w:r>
      <w:r>
        <w:rPr/>
        <w:t>the</w:t>
      </w:r>
      <w:r>
        <w:rPr>
          <w:spacing w:val="-3"/>
        </w:rPr>
        <w:t> </w:t>
      </w:r>
      <w:r>
        <w:rPr/>
        <w:t>integrity</w:t>
      </w:r>
      <w:r>
        <w:rPr>
          <w:spacing w:val="-6"/>
        </w:rPr>
        <w:t> </w:t>
      </w:r>
      <w:r>
        <w:rPr/>
        <w:t>of</w:t>
      </w:r>
      <w:r>
        <w:rPr>
          <w:spacing w:val="-3"/>
        </w:rPr>
        <w:t> </w:t>
      </w:r>
      <w:r>
        <w:rPr/>
        <w:t>our</w:t>
      </w:r>
      <w:r>
        <w:rPr>
          <w:spacing w:val="-4"/>
        </w:rPr>
        <w:t> </w:t>
      </w:r>
      <w:r>
        <w:rPr/>
        <w:t>program</w:t>
      </w:r>
      <w:r>
        <w:rPr>
          <w:spacing w:val="-3"/>
        </w:rPr>
        <w:t> </w:t>
      </w:r>
      <w:r>
        <w:rPr/>
        <w:t>requirements and to establish the consistent application of program standards to the awarding of education </w:t>
      </w:r>
      <w:r>
        <w:rPr>
          <w:spacing w:val="-2"/>
        </w:rPr>
        <w:t>degrees.</w:t>
      </w:r>
    </w:p>
    <w:p>
      <w:pPr>
        <w:pStyle w:val="BodyText"/>
        <w:spacing w:before="10"/>
        <w:rPr>
          <w:sz w:val="19"/>
        </w:rPr>
      </w:pPr>
    </w:p>
    <w:p>
      <w:pPr>
        <w:pStyle w:val="BodyText"/>
        <w:spacing w:before="1"/>
        <w:ind w:left="100" w:right="425"/>
      </w:pPr>
      <w:r>
        <w:rPr/>
        <w:t>The recommendations made below address the grades to be used in meeting G.P.A. requirements in the undergraduate programs and clarify the calculation of the various G.P.A. requirements for School of Education degrees. These have been shared with both the Elementary and Secondary Councils, and both of them have approved the following recommendations. Elementary Council approved them October 10, 2005, and the Secondary Council</w:t>
      </w:r>
      <w:r>
        <w:rPr>
          <w:spacing w:val="-6"/>
        </w:rPr>
        <w:t> </w:t>
      </w:r>
      <w:r>
        <w:rPr/>
        <w:t>approved</w:t>
      </w:r>
      <w:r>
        <w:rPr>
          <w:spacing w:val="-5"/>
        </w:rPr>
        <w:t> </w:t>
      </w:r>
      <w:r>
        <w:rPr/>
        <w:t>them</w:t>
      </w:r>
      <w:r>
        <w:rPr>
          <w:spacing w:val="-1"/>
        </w:rPr>
        <w:t> </w:t>
      </w:r>
      <w:r>
        <w:rPr/>
        <w:t>on</w:t>
      </w:r>
      <w:r>
        <w:rPr>
          <w:spacing w:val="-6"/>
        </w:rPr>
        <w:t> </w:t>
      </w:r>
      <w:r>
        <w:rPr/>
        <w:t>December</w:t>
      </w:r>
      <w:r>
        <w:rPr>
          <w:spacing w:val="-4"/>
        </w:rPr>
        <w:t> </w:t>
      </w:r>
      <w:r>
        <w:rPr/>
        <w:t>8,</w:t>
      </w:r>
      <w:r>
        <w:rPr>
          <w:spacing w:val="-5"/>
        </w:rPr>
        <w:t> </w:t>
      </w:r>
      <w:r>
        <w:rPr/>
        <w:t>2005.</w:t>
      </w:r>
      <w:r>
        <w:rPr>
          <w:spacing w:val="-5"/>
        </w:rPr>
        <w:t> </w:t>
      </w:r>
      <w:r>
        <w:rPr/>
        <w:t>The</w:t>
      </w:r>
      <w:r>
        <w:rPr>
          <w:spacing w:val="-6"/>
        </w:rPr>
        <w:t> </w:t>
      </w:r>
      <w:r>
        <w:rPr/>
        <w:t>Committee</w:t>
      </w:r>
      <w:r>
        <w:rPr>
          <w:spacing w:val="-5"/>
        </w:rPr>
        <w:t> </w:t>
      </w:r>
      <w:r>
        <w:rPr/>
        <w:t>on</w:t>
      </w:r>
      <w:r>
        <w:rPr>
          <w:spacing w:val="-5"/>
        </w:rPr>
        <w:t> </w:t>
      </w:r>
      <w:r>
        <w:rPr/>
        <w:t>Teacher</w:t>
      </w:r>
      <w:r>
        <w:rPr>
          <w:spacing w:val="-2"/>
        </w:rPr>
        <w:t> </w:t>
      </w:r>
      <w:r>
        <w:rPr/>
        <w:t>Education</w:t>
      </w:r>
      <w:r>
        <w:rPr>
          <w:spacing w:val="-3"/>
        </w:rPr>
        <w:t> </w:t>
      </w:r>
      <w:r>
        <w:rPr/>
        <w:t>approved these recommendations on January 23, 2006.</w:t>
      </w:r>
    </w:p>
    <w:p>
      <w:pPr>
        <w:pStyle w:val="BodyText"/>
        <w:spacing w:before="2"/>
        <w:rPr>
          <w:sz w:val="19"/>
        </w:rPr>
      </w:pPr>
    </w:p>
    <w:p>
      <w:pPr>
        <w:spacing w:before="0"/>
        <w:ind w:left="100" w:right="0" w:firstLine="0"/>
        <w:jc w:val="left"/>
        <w:rPr>
          <w:b/>
          <w:sz w:val="20"/>
        </w:rPr>
      </w:pPr>
      <w:r>
        <w:rPr>
          <w:b/>
          <w:spacing w:val="-2"/>
          <w:sz w:val="20"/>
          <w:u w:val="thick"/>
        </w:rPr>
        <w:t>Recommendations</w:t>
      </w:r>
    </w:p>
    <w:p>
      <w:pPr>
        <w:pStyle w:val="BodyText"/>
        <w:rPr>
          <w:b/>
          <w:sz w:val="12"/>
        </w:rPr>
      </w:pPr>
    </w:p>
    <w:p>
      <w:pPr>
        <w:pStyle w:val="BodyText"/>
        <w:spacing w:line="244" w:lineRule="auto" w:before="93"/>
        <w:ind w:left="820" w:right="413"/>
      </w:pPr>
      <w:r>
        <w:rPr>
          <w:b/>
        </w:rPr>
        <w:t>Grades: </w:t>
      </w:r>
      <w:r>
        <w:rPr/>
        <w:t>Only earned grades of “C” or higher may be used to meet program requirements,</w:t>
      </w:r>
      <w:r>
        <w:rPr>
          <w:spacing w:val="-5"/>
        </w:rPr>
        <w:t> </w:t>
      </w:r>
      <w:r>
        <w:rPr/>
        <w:t>both</w:t>
      </w:r>
      <w:r>
        <w:rPr>
          <w:spacing w:val="-4"/>
        </w:rPr>
        <w:t> </w:t>
      </w:r>
      <w:r>
        <w:rPr/>
        <w:t>in</w:t>
      </w:r>
      <w:r>
        <w:rPr>
          <w:spacing w:val="-5"/>
        </w:rPr>
        <w:t> </w:t>
      </w:r>
      <w:r>
        <w:rPr/>
        <w:t>undergraduate</w:t>
      </w:r>
      <w:r>
        <w:rPr>
          <w:spacing w:val="-5"/>
        </w:rPr>
        <w:t> </w:t>
      </w:r>
      <w:r>
        <w:rPr/>
        <w:t>programs’</w:t>
      </w:r>
      <w:r>
        <w:rPr>
          <w:spacing w:val="-6"/>
        </w:rPr>
        <w:t> </w:t>
      </w:r>
      <w:r>
        <w:rPr/>
        <w:t>content</w:t>
      </w:r>
      <w:r>
        <w:rPr>
          <w:spacing w:val="-4"/>
        </w:rPr>
        <w:t> </w:t>
      </w:r>
      <w:r>
        <w:rPr/>
        <w:t>area</w:t>
      </w:r>
      <w:r>
        <w:rPr>
          <w:spacing w:val="-5"/>
        </w:rPr>
        <w:t> </w:t>
      </w:r>
      <w:r>
        <w:rPr/>
        <w:t>and</w:t>
      </w:r>
      <w:r>
        <w:rPr>
          <w:spacing w:val="-5"/>
        </w:rPr>
        <w:t> </w:t>
      </w:r>
      <w:r>
        <w:rPr/>
        <w:t>in</w:t>
      </w:r>
      <w:r>
        <w:rPr>
          <w:spacing w:val="-4"/>
        </w:rPr>
        <w:t> </w:t>
      </w:r>
      <w:r>
        <w:rPr/>
        <w:t>each</w:t>
      </w:r>
      <w:r>
        <w:rPr>
          <w:spacing w:val="-4"/>
        </w:rPr>
        <w:t> </w:t>
      </w:r>
      <w:r>
        <w:rPr/>
        <w:t>of</w:t>
      </w:r>
      <w:r>
        <w:rPr>
          <w:spacing w:val="-4"/>
        </w:rPr>
        <w:t> </w:t>
      </w:r>
      <w:r>
        <w:rPr/>
        <w:t>the professional education course requirements.</w:t>
      </w:r>
    </w:p>
    <w:p>
      <w:pPr>
        <w:pStyle w:val="BodyText"/>
        <w:spacing w:before="9"/>
        <w:rPr>
          <w:sz w:val="18"/>
        </w:rPr>
      </w:pPr>
    </w:p>
    <w:p>
      <w:pPr>
        <w:pStyle w:val="Heading1"/>
        <w:ind w:left="820"/>
      </w:pPr>
      <w:r>
        <w:rPr/>
        <w:t>CURRENT</w:t>
      </w:r>
      <w:r>
        <w:rPr>
          <w:spacing w:val="-9"/>
        </w:rPr>
        <w:t> </w:t>
      </w:r>
      <w:r>
        <w:rPr/>
        <w:t>PROGRAM</w:t>
      </w:r>
      <w:r>
        <w:rPr>
          <w:spacing w:val="-6"/>
        </w:rPr>
        <w:t> </w:t>
      </w:r>
      <w:r>
        <w:rPr/>
        <w:t>G.P.A.</w:t>
      </w:r>
      <w:r>
        <w:rPr>
          <w:spacing w:val="-11"/>
        </w:rPr>
        <w:t> </w:t>
      </w:r>
      <w:r>
        <w:rPr>
          <w:spacing w:val="-2"/>
        </w:rPr>
        <w:t>REQUIREMENTS</w:t>
      </w:r>
    </w:p>
    <w:p>
      <w:pPr>
        <w:pStyle w:val="BodyText"/>
        <w:spacing w:before="3"/>
        <w:rPr>
          <w:b/>
        </w:rPr>
      </w:pPr>
    </w:p>
    <w:p>
      <w:pPr>
        <w:pStyle w:val="BodyText"/>
        <w:ind w:left="820"/>
      </w:pPr>
      <w:r>
        <w:rPr>
          <w:spacing w:val="-2"/>
          <w:u w:val="single"/>
        </w:rPr>
        <w:t>Elementary/Early</w:t>
      </w:r>
      <w:r>
        <w:rPr>
          <w:spacing w:val="8"/>
          <w:u w:val="single"/>
        </w:rPr>
        <w:t> </w:t>
      </w:r>
      <w:r>
        <w:rPr>
          <w:spacing w:val="-2"/>
          <w:u w:val="single"/>
        </w:rPr>
        <w:t>Childhood/Teaching</w:t>
      </w:r>
      <w:r>
        <w:rPr>
          <w:spacing w:val="11"/>
          <w:u w:val="single"/>
        </w:rPr>
        <w:t> </w:t>
      </w:r>
      <w:r>
        <w:rPr>
          <w:spacing w:val="-2"/>
          <w:u w:val="single"/>
        </w:rPr>
        <w:t>All</w:t>
      </w:r>
      <w:r>
        <w:rPr>
          <w:spacing w:val="12"/>
          <w:u w:val="single"/>
        </w:rPr>
        <w:t> </w:t>
      </w:r>
      <w:r>
        <w:rPr>
          <w:spacing w:val="-2"/>
          <w:u w:val="single"/>
        </w:rPr>
        <w:t>Learners</w:t>
      </w:r>
    </w:p>
    <w:p>
      <w:pPr>
        <w:pStyle w:val="ListParagraph"/>
        <w:numPr>
          <w:ilvl w:val="0"/>
          <w:numId w:val="1"/>
        </w:numPr>
        <w:tabs>
          <w:tab w:pos="2621" w:val="left" w:leader="none"/>
        </w:tabs>
        <w:spacing w:line="235" w:lineRule="auto" w:before="6" w:after="0"/>
        <w:ind w:left="2621" w:right="959" w:hanging="361"/>
        <w:jc w:val="left"/>
        <w:rPr>
          <w:sz w:val="20"/>
        </w:rPr>
      </w:pPr>
      <w:r>
        <w:rPr>
          <w:sz w:val="20"/>
        </w:rPr>
        <w:t>2.0</w:t>
      </w:r>
      <w:r>
        <w:rPr>
          <w:spacing w:val="-4"/>
          <w:sz w:val="20"/>
        </w:rPr>
        <w:t> </w:t>
      </w:r>
      <w:r>
        <w:rPr>
          <w:sz w:val="20"/>
        </w:rPr>
        <w:t>in</w:t>
      </w:r>
      <w:r>
        <w:rPr>
          <w:spacing w:val="-6"/>
          <w:sz w:val="20"/>
        </w:rPr>
        <w:t> </w:t>
      </w:r>
      <w:r>
        <w:rPr>
          <w:sz w:val="20"/>
        </w:rPr>
        <w:t>each</w:t>
      </w:r>
      <w:r>
        <w:rPr>
          <w:spacing w:val="-6"/>
          <w:sz w:val="20"/>
        </w:rPr>
        <w:t> </w:t>
      </w:r>
      <w:r>
        <w:rPr>
          <w:sz w:val="20"/>
        </w:rPr>
        <w:t>of</w:t>
      </w:r>
      <w:r>
        <w:rPr>
          <w:spacing w:val="-4"/>
          <w:sz w:val="20"/>
        </w:rPr>
        <w:t> </w:t>
      </w:r>
      <w:r>
        <w:rPr>
          <w:sz w:val="20"/>
        </w:rPr>
        <w:t>five</w:t>
      </w:r>
      <w:r>
        <w:rPr>
          <w:spacing w:val="-6"/>
          <w:sz w:val="20"/>
        </w:rPr>
        <w:t> </w:t>
      </w:r>
      <w:r>
        <w:rPr>
          <w:sz w:val="20"/>
        </w:rPr>
        <w:t>content</w:t>
      </w:r>
      <w:r>
        <w:rPr>
          <w:spacing w:val="-6"/>
          <w:sz w:val="20"/>
        </w:rPr>
        <w:t> </w:t>
      </w:r>
      <w:r>
        <w:rPr>
          <w:sz w:val="20"/>
        </w:rPr>
        <w:t>areas:</w:t>
      </w:r>
      <w:r>
        <w:rPr>
          <w:spacing w:val="-6"/>
          <w:sz w:val="20"/>
        </w:rPr>
        <w:t> </w:t>
      </w:r>
      <w:r>
        <w:rPr>
          <w:sz w:val="20"/>
        </w:rPr>
        <w:t>language</w:t>
      </w:r>
      <w:r>
        <w:rPr>
          <w:spacing w:val="-4"/>
          <w:sz w:val="20"/>
        </w:rPr>
        <w:t> </w:t>
      </w:r>
      <w:r>
        <w:rPr>
          <w:sz w:val="20"/>
        </w:rPr>
        <w:t>arts,</w:t>
      </w:r>
      <w:r>
        <w:rPr>
          <w:spacing w:val="-6"/>
          <w:sz w:val="20"/>
        </w:rPr>
        <w:t> </w:t>
      </w:r>
      <w:r>
        <w:rPr>
          <w:sz w:val="20"/>
        </w:rPr>
        <w:t>social</w:t>
      </w:r>
      <w:r>
        <w:rPr>
          <w:spacing w:val="-5"/>
          <w:sz w:val="20"/>
        </w:rPr>
        <w:t> </w:t>
      </w:r>
      <w:r>
        <w:rPr>
          <w:sz w:val="20"/>
        </w:rPr>
        <w:t>studies, mathematics, science and fine arts</w:t>
      </w:r>
    </w:p>
    <w:p>
      <w:pPr>
        <w:pStyle w:val="ListParagraph"/>
        <w:numPr>
          <w:ilvl w:val="0"/>
          <w:numId w:val="1"/>
        </w:numPr>
        <w:tabs>
          <w:tab w:pos="2620" w:val="left" w:leader="none"/>
        </w:tabs>
        <w:spacing w:line="243" w:lineRule="exact" w:before="0" w:after="0"/>
        <w:ind w:left="2620" w:right="0" w:hanging="360"/>
        <w:jc w:val="left"/>
        <w:rPr>
          <w:sz w:val="20"/>
        </w:rPr>
      </w:pPr>
      <w:r>
        <w:rPr>
          <w:sz w:val="20"/>
        </w:rPr>
        <w:t>2.5</w:t>
      </w:r>
      <w:r>
        <w:rPr>
          <w:spacing w:val="-10"/>
          <w:sz w:val="20"/>
        </w:rPr>
        <w:t> </w:t>
      </w:r>
      <w:r>
        <w:rPr>
          <w:sz w:val="20"/>
        </w:rPr>
        <w:t>in</w:t>
      </w:r>
      <w:r>
        <w:rPr>
          <w:spacing w:val="-7"/>
          <w:sz w:val="20"/>
        </w:rPr>
        <w:t> </w:t>
      </w:r>
      <w:r>
        <w:rPr>
          <w:sz w:val="20"/>
        </w:rPr>
        <w:t>area</w:t>
      </w:r>
      <w:r>
        <w:rPr>
          <w:spacing w:val="-7"/>
          <w:sz w:val="20"/>
        </w:rPr>
        <w:t> </w:t>
      </w:r>
      <w:r>
        <w:rPr>
          <w:sz w:val="20"/>
        </w:rPr>
        <w:t>of</w:t>
      </w:r>
      <w:r>
        <w:rPr>
          <w:spacing w:val="-6"/>
          <w:sz w:val="20"/>
        </w:rPr>
        <w:t> </w:t>
      </w:r>
      <w:r>
        <w:rPr>
          <w:sz w:val="20"/>
        </w:rPr>
        <w:t>concentration</w:t>
      </w:r>
      <w:r>
        <w:rPr>
          <w:spacing w:val="-21"/>
          <w:sz w:val="20"/>
        </w:rPr>
        <w:t> </w:t>
      </w:r>
      <w:r>
        <w:rPr>
          <w:spacing w:val="-2"/>
          <w:sz w:val="20"/>
        </w:rPr>
        <w:t>(elementary)</w:t>
      </w:r>
    </w:p>
    <w:p>
      <w:pPr>
        <w:pStyle w:val="ListParagraph"/>
        <w:numPr>
          <w:ilvl w:val="0"/>
          <w:numId w:val="1"/>
        </w:numPr>
        <w:tabs>
          <w:tab w:pos="2620" w:val="left" w:leader="none"/>
        </w:tabs>
        <w:spacing w:line="240" w:lineRule="auto" w:before="2" w:after="0"/>
        <w:ind w:left="2620" w:right="0" w:hanging="360"/>
        <w:jc w:val="left"/>
        <w:rPr>
          <w:sz w:val="20"/>
        </w:rPr>
      </w:pPr>
      <w:r>
        <w:rPr>
          <w:sz w:val="20"/>
        </w:rPr>
        <w:t>2.5</w:t>
      </w:r>
      <w:r>
        <w:rPr>
          <w:spacing w:val="-10"/>
          <w:sz w:val="20"/>
        </w:rPr>
        <w:t> </w:t>
      </w:r>
      <w:r>
        <w:rPr>
          <w:sz w:val="20"/>
        </w:rPr>
        <w:t>and</w:t>
      </w:r>
      <w:r>
        <w:rPr>
          <w:spacing w:val="-8"/>
          <w:sz w:val="20"/>
        </w:rPr>
        <w:t> </w:t>
      </w:r>
      <w:r>
        <w:rPr>
          <w:sz w:val="20"/>
        </w:rPr>
        <w:t>C</w:t>
      </w:r>
      <w:r>
        <w:rPr>
          <w:spacing w:val="-4"/>
          <w:sz w:val="20"/>
        </w:rPr>
        <w:t> </w:t>
      </w:r>
      <w:r>
        <w:rPr>
          <w:sz w:val="20"/>
        </w:rPr>
        <w:t>or</w:t>
      </w:r>
      <w:r>
        <w:rPr>
          <w:spacing w:val="-7"/>
          <w:sz w:val="20"/>
        </w:rPr>
        <w:t> </w:t>
      </w:r>
      <w:r>
        <w:rPr>
          <w:sz w:val="20"/>
        </w:rPr>
        <w:t>better</w:t>
      </w:r>
      <w:r>
        <w:rPr>
          <w:spacing w:val="-5"/>
          <w:sz w:val="20"/>
        </w:rPr>
        <w:t> </w:t>
      </w:r>
      <w:r>
        <w:rPr>
          <w:sz w:val="20"/>
        </w:rPr>
        <w:t>in</w:t>
      </w:r>
      <w:r>
        <w:rPr>
          <w:spacing w:val="-7"/>
          <w:sz w:val="20"/>
        </w:rPr>
        <w:t> </w:t>
      </w:r>
      <w:r>
        <w:rPr>
          <w:sz w:val="20"/>
        </w:rPr>
        <w:t>each</w:t>
      </w:r>
      <w:r>
        <w:rPr>
          <w:spacing w:val="-5"/>
          <w:sz w:val="20"/>
        </w:rPr>
        <w:t> </w:t>
      </w:r>
      <w:r>
        <w:rPr>
          <w:sz w:val="20"/>
        </w:rPr>
        <w:t>required</w:t>
      </w:r>
      <w:r>
        <w:rPr>
          <w:spacing w:val="-7"/>
          <w:sz w:val="20"/>
        </w:rPr>
        <w:t> </w:t>
      </w:r>
      <w:r>
        <w:rPr>
          <w:sz w:val="20"/>
        </w:rPr>
        <w:t>professional</w:t>
      </w:r>
      <w:r>
        <w:rPr>
          <w:spacing w:val="-6"/>
          <w:sz w:val="20"/>
        </w:rPr>
        <w:t> </w:t>
      </w:r>
      <w:r>
        <w:rPr>
          <w:sz w:val="20"/>
        </w:rPr>
        <w:t>education</w:t>
      </w:r>
      <w:r>
        <w:rPr>
          <w:spacing w:val="-29"/>
          <w:sz w:val="20"/>
        </w:rPr>
        <w:t> </w:t>
      </w:r>
      <w:r>
        <w:rPr>
          <w:spacing w:val="-2"/>
          <w:sz w:val="20"/>
        </w:rPr>
        <w:t>course</w:t>
      </w:r>
    </w:p>
    <w:p>
      <w:pPr>
        <w:pStyle w:val="BodyText"/>
        <w:spacing w:before="8"/>
        <w:rPr>
          <w:sz w:val="19"/>
        </w:rPr>
      </w:pPr>
    </w:p>
    <w:p>
      <w:pPr>
        <w:pStyle w:val="BodyText"/>
        <w:spacing w:line="228" w:lineRule="exact"/>
        <w:ind w:left="820"/>
      </w:pPr>
      <w:r>
        <w:rPr>
          <w:spacing w:val="-2"/>
          <w:u w:val="single"/>
        </w:rPr>
        <w:t>Secondary/All</w:t>
      </w:r>
      <w:r>
        <w:rPr>
          <w:spacing w:val="9"/>
          <w:u w:val="single"/>
        </w:rPr>
        <w:t> </w:t>
      </w:r>
      <w:r>
        <w:rPr>
          <w:spacing w:val="-2"/>
          <w:u w:val="single"/>
        </w:rPr>
        <w:t>Grade</w:t>
      </w:r>
    </w:p>
    <w:p>
      <w:pPr>
        <w:pStyle w:val="ListParagraph"/>
        <w:numPr>
          <w:ilvl w:val="0"/>
          <w:numId w:val="1"/>
        </w:numPr>
        <w:tabs>
          <w:tab w:pos="2620" w:val="left" w:leader="none"/>
        </w:tabs>
        <w:spacing w:line="243" w:lineRule="exact" w:before="0" w:after="0"/>
        <w:ind w:left="2620" w:right="0" w:hanging="360"/>
        <w:jc w:val="left"/>
        <w:rPr>
          <w:sz w:val="20"/>
        </w:rPr>
      </w:pPr>
      <w:r>
        <w:rPr>
          <w:sz w:val="20"/>
        </w:rPr>
        <w:t>2.5</w:t>
      </w:r>
      <w:r>
        <w:rPr>
          <w:spacing w:val="-8"/>
          <w:sz w:val="20"/>
        </w:rPr>
        <w:t> </w:t>
      </w:r>
      <w:r>
        <w:rPr>
          <w:sz w:val="20"/>
        </w:rPr>
        <w:t>in</w:t>
      </w:r>
      <w:r>
        <w:rPr>
          <w:spacing w:val="-6"/>
          <w:sz w:val="20"/>
        </w:rPr>
        <w:t> </w:t>
      </w:r>
      <w:r>
        <w:rPr>
          <w:sz w:val="20"/>
        </w:rPr>
        <w:t>content</w:t>
      </w:r>
      <w:r>
        <w:rPr>
          <w:spacing w:val="-14"/>
          <w:sz w:val="20"/>
        </w:rPr>
        <w:t> </w:t>
      </w:r>
      <w:r>
        <w:rPr>
          <w:spacing w:val="-4"/>
          <w:sz w:val="20"/>
        </w:rPr>
        <w:t>area</w:t>
      </w:r>
    </w:p>
    <w:p>
      <w:pPr>
        <w:pStyle w:val="ListParagraph"/>
        <w:numPr>
          <w:ilvl w:val="0"/>
          <w:numId w:val="1"/>
        </w:numPr>
        <w:tabs>
          <w:tab w:pos="2620" w:val="left" w:leader="none"/>
        </w:tabs>
        <w:spacing w:line="240" w:lineRule="auto" w:before="0" w:after="0"/>
        <w:ind w:left="2620" w:right="0" w:hanging="360"/>
        <w:jc w:val="left"/>
        <w:rPr>
          <w:sz w:val="20"/>
        </w:rPr>
      </w:pPr>
      <w:r>
        <w:rPr>
          <w:sz w:val="20"/>
        </w:rPr>
        <w:t>2.5</w:t>
      </w:r>
      <w:r>
        <w:rPr>
          <w:spacing w:val="-10"/>
          <w:sz w:val="20"/>
        </w:rPr>
        <w:t> </w:t>
      </w:r>
      <w:r>
        <w:rPr>
          <w:sz w:val="20"/>
        </w:rPr>
        <w:t>and</w:t>
      </w:r>
      <w:r>
        <w:rPr>
          <w:spacing w:val="-8"/>
          <w:sz w:val="20"/>
        </w:rPr>
        <w:t> </w:t>
      </w:r>
      <w:r>
        <w:rPr>
          <w:sz w:val="20"/>
        </w:rPr>
        <w:t>C</w:t>
      </w:r>
      <w:r>
        <w:rPr>
          <w:spacing w:val="-4"/>
          <w:sz w:val="20"/>
        </w:rPr>
        <w:t> </w:t>
      </w:r>
      <w:r>
        <w:rPr>
          <w:sz w:val="20"/>
        </w:rPr>
        <w:t>or</w:t>
      </w:r>
      <w:r>
        <w:rPr>
          <w:spacing w:val="-7"/>
          <w:sz w:val="20"/>
        </w:rPr>
        <w:t> </w:t>
      </w:r>
      <w:r>
        <w:rPr>
          <w:sz w:val="20"/>
        </w:rPr>
        <w:t>better</w:t>
      </w:r>
      <w:r>
        <w:rPr>
          <w:spacing w:val="-5"/>
          <w:sz w:val="20"/>
        </w:rPr>
        <w:t> </w:t>
      </w:r>
      <w:r>
        <w:rPr>
          <w:sz w:val="20"/>
        </w:rPr>
        <w:t>in</w:t>
      </w:r>
      <w:r>
        <w:rPr>
          <w:spacing w:val="-7"/>
          <w:sz w:val="20"/>
        </w:rPr>
        <w:t> </w:t>
      </w:r>
      <w:r>
        <w:rPr>
          <w:sz w:val="20"/>
        </w:rPr>
        <w:t>each</w:t>
      </w:r>
      <w:r>
        <w:rPr>
          <w:spacing w:val="-5"/>
          <w:sz w:val="20"/>
        </w:rPr>
        <w:t> </w:t>
      </w:r>
      <w:r>
        <w:rPr>
          <w:sz w:val="20"/>
        </w:rPr>
        <w:t>required</w:t>
      </w:r>
      <w:r>
        <w:rPr>
          <w:spacing w:val="-7"/>
          <w:sz w:val="20"/>
        </w:rPr>
        <w:t> </w:t>
      </w:r>
      <w:r>
        <w:rPr>
          <w:sz w:val="20"/>
        </w:rPr>
        <w:t>professional</w:t>
      </w:r>
      <w:r>
        <w:rPr>
          <w:spacing w:val="-6"/>
          <w:sz w:val="20"/>
        </w:rPr>
        <w:t> </w:t>
      </w:r>
      <w:r>
        <w:rPr>
          <w:sz w:val="20"/>
        </w:rPr>
        <w:t>education</w:t>
      </w:r>
      <w:r>
        <w:rPr>
          <w:spacing w:val="-29"/>
          <w:sz w:val="20"/>
        </w:rPr>
        <w:t> </w:t>
      </w:r>
      <w:r>
        <w:rPr>
          <w:spacing w:val="-2"/>
          <w:sz w:val="20"/>
        </w:rPr>
        <w:t>course</w:t>
      </w:r>
    </w:p>
    <w:p>
      <w:pPr>
        <w:pStyle w:val="BodyText"/>
        <w:spacing w:before="6"/>
        <w:rPr>
          <w:sz w:val="19"/>
        </w:rPr>
      </w:pPr>
    </w:p>
    <w:p>
      <w:pPr>
        <w:pStyle w:val="BodyText"/>
        <w:ind w:left="820" w:right="413"/>
      </w:pPr>
      <w:r>
        <w:rPr>
          <w:b/>
        </w:rPr>
        <w:t>School</w:t>
      </w:r>
      <w:r>
        <w:rPr>
          <w:b/>
          <w:spacing w:val="-5"/>
        </w:rPr>
        <w:t> </w:t>
      </w:r>
      <w:r>
        <w:rPr>
          <w:b/>
        </w:rPr>
        <w:t>and</w:t>
      </w:r>
      <w:r>
        <w:rPr>
          <w:b/>
          <w:spacing w:val="-4"/>
        </w:rPr>
        <w:t> </w:t>
      </w:r>
      <w:r>
        <w:rPr>
          <w:b/>
        </w:rPr>
        <w:t>University</w:t>
      </w:r>
      <w:r>
        <w:rPr>
          <w:b/>
          <w:spacing w:val="-7"/>
        </w:rPr>
        <w:t> </w:t>
      </w:r>
      <w:r>
        <w:rPr>
          <w:b/>
        </w:rPr>
        <w:t>G.P.A.: </w:t>
      </w:r>
      <w:r>
        <w:rPr/>
        <w:t>Affirm</w:t>
      </w:r>
      <w:r>
        <w:rPr>
          <w:spacing w:val="-1"/>
        </w:rPr>
        <w:t> </w:t>
      </w:r>
      <w:r>
        <w:rPr/>
        <w:t>the</w:t>
      </w:r>
      <w:r>
        <w:rPr>
          <w:spacing w:val="-5"/>
        </w:rPr>
        <w:t> </w:t>
      </w:r>
      <w:r>
        <w:rPr/>
        <w:t>policy</w:t>
      </w:r>
      <w:r>
        <w:rPr>
          <w:spacing w:val="-8"/>
        </w:rPr>
        <w:t> </w:t>
      </w:r>
      <w:r>
        <w:rPr/>
        <w:t>to</w:t>
      </w:r>
      <w:r>
        <w:rPr>
          <w:spacing w:val="-3"/>
        </w:rPr>
        <w:t> </w:t>
      </w:r>
      <w:r>
        <w:rPr/>
        <w:t>calculate</w:t>
      </w:r>
      <w:r>
        <w:rPr>
          <w:spacing w:val="-6"/>
        </w:rPr>
        <w:t> </w:t>
      </w:r>
      <w:r>
        <w:rPr/>
        <w:t>a</w:t>
      </w:r>
      <w:r>
        <w:rPr>
          <w:spacing w:val="-3"/>
        </w:rPr>
        <w:t> </w:t>
      </w:r>
      <w:r>
        <w:rPr/>
        <w:t>distinctive </w:t>
      </w:r>
      <w:r>
        <w:rPr>
          <w:i/>
        </w:rPr>
        <w:t>School</w:t>
      </w:r>
      <w:r>
        <w:rPr>
          <w:i/>
          <w:spacing w:val="-1"/>
        </w:rPr>
        <w:t> </w:t>
      </w:r>
      <w:r>
        <w:rPr/>
        <w:t>G.P.A. and the use of this G.P.A. to reflect education students’ academic performance and to award education degrees.</w:t>
      </w:r>
      <w:r>
        <w:rPr>
          <w:spacing w:val="40"/>
        </w:rPr>
        <w:t> </w:t>
      </w:r>
      <w:r>
        <w:rPr/>
        <w:t>The result of this policy is that education students will have </w:t>
      </w:r>
      <w:r>
        <w:rPr>
          <w:i/>
        </w:rPr>
        <w:t>two </w:t>
      </w:r>
      <w:r>
        <w:rPr/>
        <w:t>G.P.A’s on their official transcripts.</w:t>
      </w:r>
    </w:p>
    <w:p>
      <w:pPr>
        <w:pStyle w:val="BodyText"/>
      </w:pPr>
    </w:p>
    <w:p>
      <w:pPr>
        <w:pStyle w:val="BodyText"/>
        <w:spacing w:line="242" w:lineRule="auto"/>
        <w:ind w:left="820" w:right="498"/>
        <w:jc w:val="both"/>
      </w:pPr>
      <w:r>
        <w:rPr/>
        <w:t>In</w:t>
      </w:r>
      <w:r>
        <w:rPr>
          <w:spacing w:val="-5"/>
        </w:rPr>
        <w:t> </w:t>
      </w:r>
      <w:r>
        <w:rPr/>
        <w:t>the</w:t>
      </w:r>
      <w:r>
        <w:rPr>
          <w:spacing w:val="-3"/>
        </w:rPr>
        <w:t> </w:t>
      </w:r>
      <w:r>
        <w:rPr/>
        <w:t>determination</w:t>
      </w:r>
      <w:r>
        <w:rPr>
          <w:spacing w:val="-4"/>
        </w:rPr>
        <w:t> </w:t>
      </w:r>
      <w:r>
        <w:rPr/>
        <w:t>of the</w:t>
      </w:r>
      <w:r>
        <w:rPr>
          <w:spacing w:val="-1"/>
        </w:rPr>
        <w:t> </w:t>
      </w:r>
      <w:r>
        <w:rPr>
          <w:i/>
        </w:rPr>
        <w:t>School</w:t>
      </w:r>
      <w:r>
        <w:rPr>
          <w:i/>
          <w:spacing w:val="-8"/>
        </w:rPr>
        <w:t> </w:t>
      </w:r>
      <w:r>
        <w:rPr/>
        <w:t>G.P.A.,</w:t>
      </w:r>
      <w:r>
        <w:rPr>
          <w:spacing w:val="-5"/>
        </w:rPr>
        <w:t> </w:t>
      </w:r>
      <w:r>
        <w:rPr/>
        <w:t>the</w:t>
      </w:r>
      <w:r>
        <w:rPr>
          <w:spacing w:val="-5"/>
        </w:rPr>
        <w:t> </w:t>
      </w:r>
      <w:r>
        <w:rPr/>
        <w:t>OTE</w:t>
      </w:r>
      <w:r>
        <w:rPr>
          <w:spacing w:val="-7"/>
        </w:rPr>
        <w:t> </w:t>
      </w:r>
      <w:r>
        <w:rPr/>
        <w:t>recommends</w:t>
      </w:r>
      <w:r>
        <w:rPr>
          <w:spacing w:val="-3"/>
        </w:rPr>
        <w:t> </w:t>
      </w:r>
      <w:r>
        <w:rPr/>
        <w:t>that</w:t>
      </w:r>
      <w:r>
        <w:rPr>
          <w:spacing w:val="-5"/>
        </w:rPr>
        <w:t> </w:t>
      </w:r>
      <w:r>
        <w:rPr/>
        <w:t>the</w:t>
      </w:r>
      <w:r>
        <w:rPr>
          <w:spacing w:val="-3"/>
        </w:rPr>
        <w:t> </w:t>
      </w:r>
      <w:r>
        <w:rPr/>
        <w:t>undergraduate faculty</w:t>
      </w:r>
      <w:r>
        <w:rPr>
          <w:spacing w:val="-4"/>
        </w:rPr>
        <w:t> </w:t>
      </w:r>
      <w:r>
        <w:rPr/>
        <w:t>adopt </w:t>
      </w:r>
      <w:r>
        <w:rPr>
          <w:i/>
        </w:rPr>
        <w:t>one</w:t>
      </w:r>
      <w:r>
        <w:rPr>
          <w:i/>
          <w:spacing w:val="-1"/>
        </w:rPr>
        <w:t> </w:t>
      </w:r>
      <w:r>
        <w:rPr/>
        <w:t>policy</w:t>
      </w:r>
      <w:r>
        <w:rPr>
          <w:spacing w:val="-4"/>
        </w:rPr>
        <w:t> </w:t>
      </w:r>
      <w:r>
        <w:rPr/>
        <w:t>as</w:t>
      </w:r>
      <w:r>
        <w:rPr>
          <w:spacing w:val="-1"/>
        </w:rPr>
        <w:t> </w:t>
      </w:r>
      <w:r>
        <w:rPr/>
        <w:t>to</w:t>
      </w:r>
      <w:r>
        <w:rPr>
          <w:spacing w:val="-2"/>
        </w:rPr>
        <w:t> </w:t>
      </w:r>
      <w:r>
        <w:rPr/>
        <w:t>how</w:t>
      </w:r>
      <w:r>
        <w:rPr>
          <w:spacing w:val="-3"/>
        </w:rPr>
        <w:t> </w:t>
      </w:r>
      <w:r>
        <w:rPr/>
        <w:t>grades</w:t>
      </w:r>
      <w:r>
        <w:rPr>
          <w:spacing w:val="-1"/>
        </w:rPr>
        <w:t> </w:t>
      </w:r>
      <w:r>
        <w:rPr/>
        <w:t>earned</w:t>
      </w:r>
      <w:r>
        <w:rPr>
          <w:spacing w:val="-2"/>
        </w:rPr>
        <w:t> </w:t>
      </w:r>
      <w:r>
        <w:rPr/>
        <w:t>and</w:t>
      </w:r>
      <w:r>
        <w:rPr>
          <w:spacing w:val="-2"/>
        </w:rPr>
        <w:t> </w:t>
      </w:r>
      <w:r>
        <w:rPr/>
        <w:t>courses</w:t>
      </w:r>
      <w:r>
        <w:rPr>
          <w:spacing w:val="-1"/>
        </w:rPr>
        <w:t> </w:t>
      </w:r>
      <w:r>
        <w:rPr/>
        <w:t>taken</w:t>
      </w:r>
      <w:r>
        <w:rPr>
          <w:spacing w:val="-3"/>
        </w:rPr>
        <w:t> </w:t>
      </w:r>
      <w:r>
        <w:rPr/>
        <w:t>are</w:t>
      </w:r>
      <w:r>
        <w:rPr>
          <w:spacing w:val="-2"/>
        </w:rPr>
        <w:t> </w:t>
      </w:r>
      <w:r>
        <w:rPr/>
        <w:t>included</w:t>
      </w:r>
      <w:r>
        <w:rPr>
          <w:spacing w:val="-2"/>
        </w:rPr>
        <w:t> </w:t>
      </w:r>
      <w:r>
        <w:rPr/>
        <w:t>in</w:t>
      </w:r>
      <w:r>
        <w:rPr>
          <w:spacing w:val="-2"/>
        </w:rPr>
        <w:t> </w:t>
      </w:r>
      <w:r>
        <w:rPr/>
        <w:t>this calculation.</w:t>
      </w:r>
      <w:r>
        <w:rPr>
          <w:spacing w:val="40"/>
        </w:rPr>
        <w:t> </w:t>
      </w:r>
      <w:r>
        <w:rPr/>
        <w:t>There are several elements to</w:t>
      </w:r>
      <w:r>
        <w:rPr>
          <w:spacing w:val="-17"/>
        </w:rPr>
        <w:t> </w:t>
      </w:r>
      <w:r>
        <w:rPr/>
        <w:t>consider:</w:t>
      </w:r>
    </w:p>
    <w:p>
      <w:pPr>
        <w:pStyle w:val="BodyText"/>
        <w:spacing w:before="4"/>
        <w:rPr>
          <w:sz w:val="19"/>
        </w:rPr>
      </w:pPr>
    </w:p>
    <w:p>
      <w:pPr>
        <w:pStyle w:val="ListParagraph"/>
        <w:numPr>
          <w:ilvl w:val="0"/>
          <w:numId w:val="2"/>
        </w:numPr>
        <w:tabs>
          <w:tab w:pos="1107" w:val="left" w:leader="none"/>
        </w:tabs>
        <w:spacing w:line="242" w:lineRule="auto" w:before="0" w:after="0"/>
        <w:ind w:left="820" w:right="966" w:firstLine="0"/>
        <w:jc w:val="left"/>
        <w:rPr>
          <w:sz w:val="20"/>
        </w:rPr>
      </w:pPr>
      <w:r>
        <w:rPr>
          <w:sz w:val="20"/>
          <w:u w:val="single"/>
        </w:rPr>
        <w:t>Inclusion</w:t>
      </w:r>
      <w:r>
        <w:rPr>
          <w:spacing w:val="-6"/>
          <w:sz w:val="20"/>
          <w:u w:val="single"/>
        </w:rPr>
        <w:t> </w:t>
      </w:r>
      <w:r>
        <w:rPr>
          <w:sz w:val="20"/>
          <w:u w:val="single"/>
        </w:rPr>
        <w:t>of</w:t>
      </w:r>
      <w:r>
        <w:rPr>
          <w:spacing w:val="-3"/>
          <w:sz w:val="20"/>
          <w:u w:val="single"/>
        </w:rPr>
        <w:t> </w:t>
      </w:r>
      <w:r>
        <w:rPr>
          <w:sz w:val="20"/>
          <w:u w:val="single"/>
        </w:rPr>
        <w:t>“F”</w:t>
      </w:r>
      <w:r>
        <w:rPr>
          <w:spacing w:val="-4"/>
          <w:sz w:val="20"/>
          <w:u w:val="single"/>
        </w:rPr>
        <w:t> </w:t>
      </w:r>
      <w:r>
        <w:rPr>
          <w:sz w:val="20"/>
          <w:u w:val="single"/>
        </w:rPr>
        <w:t>grades</w:t>
      </w:r>
      <w:r>
        <w:rPr>
          <w:sz w:val="20"/>
        </w:rPr>
        <w:t>.</w:t>
      </w:r>
      <w:r>
        <w:rPr>
          <w:spacing w:val="-5"/>
          <w:sz w:val="20"/>
        </w:rPr>
        <w:t> </w:t>
      </w:r>
      <w:r>
        <w:rPr>
          <w:b/>
          <w:sz w:val="20"/>
        </w:rPr>
        <w:t>OTE</w:t>
      </w:r>
      <w:r>
        <w:rPr>
          <w:b/>
          <w:spacing w:val="-5"/>
          <w:sz w:val="20"/>
        </w:rPr>
        <w:t> </w:t>
      </w:r>
      <w:r>
        <w:rPr>
          <w:b/>
          <w:sz w:val="20"/>
        </w:rPr>
        <w:t>Recommendation:</w:t>
      </w:r>
      <w:r>
        <w:rPr>
          <w:b/>
          <w:spacing w:val="-2"/>
          <w:sz w:val="20"/>
        </w:rPr>
        <w:t> </w:t>
      </w:r>
      <w:r>
        <w:rPr>
          <w:sz w:val="20"/>
        </w:rPr>
        <w:t>The</w:t>
      </w:r>
      <w:r>
        <w:rPr>
          <w:spacing w:val="-4"/>
          <w:sz w:val="20"/>
        </w:rPr>
        <w:t> </w:t>
      </w:r>
      <w:r>
        <w:rPr>
          <w:sz w:val="20"/>
        </w:rPr>
        <w:t>School</w:t>
      </w:r>
      <w:r>
        <w:rPr>
          <w:spacing w:val="-5"/>
          <w:sz w:val="20"/>
        </w:rPr>
        <w:t> </w:t>
      </w:r>
      <w:r>
        <w:rPr>
          <w:sz w:val="20"/>
        </w:rPr>
        <w:t>should</w:t>
      </w:r>
      <w:r>
        <w:rPr>
          <w:spacing w:val="-5"/>
          <w:sz w:val="20"/>
        </w:rPr>
        <w:t> </w:t>
      </w:r>
      <w:r>
        <w:rPr>
          <w:sz w:val="20"/>
        </w:rPr>
        <w:t>include</w:t>
      </w:r>
      <w:r>
        <w:rPr>
          <w:spacing w:val="-5"/>
          <w:sz w:val="20"/>
        </w:rPr>
        <w:t> </w:t>
      </w:r>
      <w:r>
        <w:rPr>
          <w:sz w:val="20"/>
        </w:rPr>
        <w:t>“F” grades, unless the student has exercised use of the Grade Replacement</w:t>
      </w:r>
      <w:r>
        <w:rPr>
          <w:spacing w:val="-29"/>
          <w:sz w:val="20"/>
        </w:rPr>
        <w:t> </w:t>
      </w:r>
      <w:r>
        <w:rPr>
          <w:sz w:val="20"/>
        </w:rPr>
        <w:t>Policy.</w:t>
      </w:r>
    </w:p>
    <w:p>
      <w:pPr>
        <w:spacing w:after="0" w:line="242" w:lineRule="auto"/>
        <w:jc w:val="left"/>
        <w:rPr>
          <w:sz w:val="20"/>
        </w:rPr>
        <w:sectPr>
          <w:type w:val="continuous"/>
          <w:pgSz w:w="12240" w:h="15840"/>
          <w:pgMar w:top="1360" w:bottom="280" w:left="1700" w:right="1440"/>
        </w:sectPr>
      </w:pPr>
    </w:p>
    <w:p>
      <w:pPr>
        <w:pStyle w:val="ListParagraph"/>
        <w:numPr>
          <w:ilvl w:val="0"/>
          <w:numId w:val="2"/>
        </w:numPr>
        <w:tabs>
          <w:tab w:pos="1248" w:val="left" w:leader="none"/>
        </w:tabs>
        <w:spacing w:line="229" w:lineRule="exact" w:before="74" w:after="0"/>
        <w:ind w:left="1248" w:right="0" w:hanging="287"/>
        <w:jc w:val="left"/>
        <w:rPr>
          <w:sz w:val="20"/>
        </w:rPr>
      </w:pPr>
      <w:r>
        <w:rPr>
          <w:sz w:val="20"/>
          <w:u w:val="single"/>
        </w:rPr>
        <w:t>Use</w:t>
      </w:r>
      <w:r>
        <w:rPr>
          <w:spacing w:val="-7"/>
          <w:sz w:val="20"/>
          <w:u w:val="single"/>
        </w:rPr>
        <w:t> </w:t>
      </w:r>
      <w:r>
        <w:rPr>
          <w:sz w:val="20"/>
          <w:u w:val="single"/>
        </w:rPr>
        <w:t>of</w:t>
      </w:r>
      <w:r>
        <w:rPr>
          <w:spacing w:val="-5"/>
          <w:sz w:val="20"/>
          <w:u w:val="single"/>
        </w:rPr>
        <w:t> </w:t>
      </w:r>
      <w:r>
        <w:rPr>
          <w:sz w:val="20"/>
          <w:u w:val="single"/>
        </w:rPr>
        <w:t>E/X</w:t>
      </w:r>
      <w:r>
        <w:rPr>
          <w:spacing w:val="-4"/>
          <w:sz w:val="20"/>
          <w:u w:val="single"/>
        </w:rPr>
        <w:t> </w:t>
      </w:r>
      <w:r>
        <w:rPr>
          <w:sz w:val="20"/>
          <w:u w:val="single"/>
        </w:rPr>
        <w:t>policy.</w:t>
      </w:r>
      <w:r>
        <w:rPr>
          <w:spacing w:val="-6"/>
          <w:sz w:val="20"/>
        </w:rPr>
        <w:t> </w:t>
      </w:r>
      <w:r>
        <w:rPr>
          <w:sz w:val="20"/>
        </w:rPr>
        <w:t>Current</w:t>
      </w:r>
      <w:r>
        <w:rPr>
          <w:spacing w:val="-5"/>
          <w:sz w:val="20"/>
        </w:rPr>
        <w:t> </w:t>
      </w:r>
      <w:r>
        <w:rPr>
          <w:sz w:val="20"/>
        </w:rPr>
        <w:t>school</w:t>
      </w:r>
      <w:r>
        <w:rPr>
          <w:spacing w:val="-7"/>
          <w:sz w:val="20"/>
        </w:rPr>
        <w:t> </w:t>
      </w:r>
      <w:r>
        <w:rPr>
          <w:sz w:val="20"/>
        </w:rPr>
        <w:t>practice</w:t>
      </w:r>
      <w:r>
        <w:rPr>
          <w:spacing w:val="-5"/>
          <w:sz w:val="20"/>
        </w:rPr>
        <w:t> </w:t>
      </w:r>
      <w:r>
        <w:rPr>
          <w:sz w:val="20"/>
        </w:rPr>
        <w:t>is</w:t>
      </w:r>
      <w:r>
        <w:rPr>
          <w:spacing w:val="-5"/>
          <w:sz w:val="20"/>
        </w:rPr>
        <w:t> </w:t>
      </w:r>
      <w:r>
        <w:rPr>
          <w:sz w:val="20"/>
        </w:rPr>
        <w:t>to</w:t>
      </w:r>
      <w:r>
        <w:rPr>
          <w:spacing w:val="-8"/>
          <w:sz w:val="20"/>
        </w:rPr>
        <w:t> </w:t>
      </w:r>
      <w:r>
        <w:rPr>
          <w:sz w:val="20"/>
        </w:rPr>
        <w:t>model</w:t>
      </w:r>
      <w:r>
        <w:rPr>
          <w:spacing w:val="-5"/>
          <w:sz w:val="20"/>
        </w:rPr>
        <w:t> </w:t>
      </w:r>
      <w:r>
        <w:rPr>
          <w:sz w:val="20"/>
        </w:rPr>
        <w:t>the</w:t>
      </w:r>
      <w:r>
        <w:rPr>
          <w:spacing w:val="-8"/>
          <w:sz w:val="20"/>
        </w:rPr>
        <w:t> </w:t>
      </w:r>
      <w:r>
        <w:rPr>
          <w:sz w:val="20"/>
        </w:rPr>
        <w:t>University’s</w:t>
      </w:r>
      <w:r>
        <w:rPr>
          <w:spacing w:val="-4"/>
          <w:sz w:val="20"/>
        </w:rPr>
        <w:t> </w:t>
      </w:r>
      <w:r>
        <w:rPr>
          <w:spacing w:val="-2"/>
          <w:sz w:val="20"/>
        </w:rPr>
        <w:t>policy.</w:t>
      </w:r>
    </w:p>
    <w:p>
      <w:pPr>
        <w:spacing w:line="229" w:lineRule="exact" w:before="0"/>
        <w:ind w:left="959" w:right="0" w:firstLine="0"/>
        <w:jc w:val="left"/>
        <w:rPr>
          <w:sz w:val="20"/>
        </w:rPr>
      </w:pPr>
      <w:r>
        <w:rPr>
          <w:b/>
          <w:sz w:val="20"/>
        </w:rPr>
        <w:t>OTE</w:t>
      </w:r>
      <w:r>
        <w:rPr>
          <w:b/>
          <w:spacing w:val="-13"/>
          <w:sz w:val="20"/>
        </w:rPr>
        <w:t> </w:t>
      </w:r>
      <w:r>
        <w:rPr>
          <w:b/>
          <w:sz w:val="20"/>
        </w:rPr>
        <w:t>Recommendation:</w:t>
      </w:r>
      <w:r>
        <w:rPr>
          <w:b/>
          <w:spacing w:val="44"/>
          <w:sz w:val="20"/>
        </w:rPr>
        <w:t> </w:t>
      </w:r>
      <w:r>
        <w:rPr>
          <w:sz w:val="20"/>
        </w:rPr>
        <w:t>No</w:t>
      </w:r>
      <w:r>
        <w:rPr>
          <w:spacing w:val="-18"/>
          <w:sz w:val="20"/>
        </w:rPr>
        <w:t> </w:t>
      </w:r>
      <w:r>
        <w:rPr>
          <w:spacing w:val="-2"/>
          <w:sz w:val="20"/>
        </w:rPr>
        <w:t>change.</w:t>
      </w:r>
    </w:p>
    <w:p>
      <w:pPr>
        <w:pStyle w:val="BodyText"/>
        <w:spacing w:before="10"/>
        <w:rPr>
          <w:sz w:val="19"/>
        </w:rPr>
      </w:pPr>
    </w:p>
    <w:p>
      <w:pPr>
        <w:pStyle w:val="Heading1"/>
        <w:ind w:left="239" w:right="5698"/>
      </w:pPr>
      <w:r>
        <w:rPr/>
        <w:t>Grade Point Average Recommendation</w:t>
      </w:r>
      <w:r>
        <w:rPr>
          <w:spacing w:val="-14"/>
        </w:rPr>
        <w:t> </w:t>
      </w:r>
      <w:r>
        <w:rPr/>
        <w:t>Undergraduate </w:t>
      </w:r>
      <w:r>
        <w:rPr>
          <w:spacing w:val="-2"/>
        </w:rPr>
        <w:t>Programs</w:t>
      </w:r>
    </w:p>
    <w:p>
      <w:pPr>
        <w:pStyle w:val="BodyText"/>
        <w:spacing w:before="4"/>
        <w:ind w:left="239"/>
      </w:pPr>
      <w:r>
        <w:rPr/>
        <w:t>February,</w:t>
      </w:r>
      <w:r>
        <w:rPr>
          <w:spacing w:val="-14"/>
        </w:rPr>
        <w:t> </w:t>
      </w:r>
      <w:r>
        <w:rPr>
          <w:spacing w:val="-4"/>
        </w:rPr>
        <w:t>2006</w:t>
      </w:r>
    </w:p>
    <w:p>
      <w:pPr>
        <w:pStyle w:val="BodyText"/>
        <w:ind w:left="239"/>
      </w:pPr>
      <w:r>
        <w:rPr/>
        <w:t>Page</w:t>
      </w:r>
      <w:r>
        <w:rPr>
          <w:spacing w:val="-7"/>
        </w:rPr>
        <w:t> </w:t>
      </w:r>
      <w:r>
        <w:rPr>
          <w:spacing w:val="-10"/>
        </w:rPr>
        <w:t>2</w:t>
      </w:r>
    </w:p>
    <w:p>
      <w:pPr>
        <w:pStyle w:val="BodyText"/>
        <w:rPr>
          <w:sz w:val="22"/>
        </w:rPr>
      </w:pPr>
    </w:p>
    <w:p>
      <w:pPr>
        <w:pStyle w:val="BodyText"/>
        <w:rPr>
          <w:sz w:val="22"/>
        </w:rPr>
      </w:pPr>
    </w:p>
    <w:p>
      <w:pPr>
        <w:pStyle w:val="ListParagraph"/>
        <w:numPr>
          <w:ilvl w:val="0"/>
          <w:numId w:val="2"/>
        </w:numPr>
        <w:tabs>
          <w:tab w:pos="961" w:val="left" w:leader="none"/>
          <w:tab w:pos="1247" w:val="left" w:leader="none"/>
        </w:tabs>
        <w:spacing w:line="240" w:lineRule="auto" w:before="183" w:after="0"/>
        <w:ind w:left="961" w:right="1260" w:hanging="3"/>
        <w:jc w:val="left"/>
        <w:rPr>
          <w:sz w:val="20"/>
        </w:rPr>
      </w:pPr>
      <w:r>
        <w:rPr>
          <w:sz w:val="20"/>
          <w:u w:val="single"/>
        </w:rPr>
        <w:t>Repeat Rules</w:t>
      </w:r>
      <w:r>
        <w:rPr>
          <w:sz w:val="20"/>
        </w:rPr>
        <w:t>. The University provides schools with five options for the management</w:t>
      </w:r>
      <w:r>
        <w:rPr>
          <w:spacing w:val="-5"/>
          <w:sz w:val="20"/>
        </w:rPr>
        <w:t> </w:t>
      </w:r>
      <w:r>
        <w:rPr>
          <w:sz w:val="20"/>
        </w:rPr>
        <w:t>of</w:t>
      </w:r>
      <w:r>
        <w:rPr>
          <w:spacing w:val="-3"/>
          <w:sz w:val="20"/>
        </w:rPr>
        <w:t> </w:t>
      </w:r>
      <w:r>
        <w:rPr>
          <w:sz w:val="20"/>
        </w:rPr>
        <w:t>course</w:t>
      </w:r>
      <w:r>
        <w:rPr>
          <w:spacing w:val="-5"/>
          <w:sz w:val="20"/>
        </w:rPr>
        <w:t> </w:t>
      </w:r>
      <w:r>
        <w:rPr>
          <w:sz w:val="20"/>
        </w:rPr>
        <w:t>credit</w:t>
      </w:r>
      <w:r>
        <w:rPr>
          <w:spacing w:val="-3"/>
          <w:sz w:val="20"/>
        </w:rPr>
        <w:t> </w:t>
      </w:r>
      <w:r>
        <w:rPr>
          <w:sz w:val="20"/>
        </w:rPr>
        <w:t>hours</w:t>
      </w:r>
      <w:r>
        <w:rPr>
          <w:spacing w:val="-3"/>
          <w:sz w:val="20"/>
        </w:rPr>
        <w:t> </w:t>
      </w:r>
      <w:r>
        <w:rPr>
          <w:sz w:val="20"/>
        </w:rPr>
        <w:t>and</w:t>
      </w:r>
      <w:r>
        <w:rPr>
          <w:spacing w:val="-5"/>
          <w:sz w:val="20"/>
        </w:rPr>
        <w:t> </w:t>
      </w:r>
      <w:r>
        <w:rPr>
          <w:sz w:val="20"/>
        </w:rPr>
        <w:t>grades</w:t>
      </w:r>
      <w:r>
        <w:rPr>
          <w:spacing w:val="-4"/>
          <w:sz w:val="20"/>
        </w:rPr>
        <w:t> </w:t>
      </w:r>
      <w:r>
        <w:rPr>
          <w:sz w:val="20"/>
        </w:rPr>
        <w:t>for</w:t>
      </w:r>
      <w:r>
        <w:rPr>
          <w:spacing w:val="-5"/>
          <w:sz w:val="20"/>
        </w:rPr>
        <w:t> </w:t>
      </w:r>
      <w:r>
        <w:rPr>
          <w:sz w:val="20"/>
        </w:rPr>
        <w:t>courses</w:t>
      </w:r>
      <w:r>
        <w:rPr>
          <w:spacing w:val="-4"/>
          <w:sz w:val="20"/>
        </w:rPr>
        <w:t> </w:t>
      </w:r>
      <w:r>
        <w:rPr>
          <w:sz w:val="20"/>
        </w:rPr>
        <w:t>that</w:t>
      </w:r>
      <w:r>
        <w:rPr>
          <w:spacing w:val="-5"/>
          <w:sz w:val="20"/>
        </w:rPr>
        <w:t> </w:t>
      </w:r>
      <w:r>
        <w:rPr>
          <w:sz w:val="20"/>
        </w:rPr>
        <w:t>students</w:t>
      </w:r>
      <w:r>
        <w:rPr>
          <w:spacing w:val="-4"/>
          <w:sz w:val="20"/>
        </w:rPr>
        <w:t> </w:t>
      </w:r>
      <w:r>
        <w:rPr>
          <w:sz w:val="20"/>
        </w:rPr>
        <w:t>may repeat. The options include:</w:t>
      </w:r>
    </w:p>
    <w:p>
      <w:pPr>
        <w:pStyle w:val="BodyText"/>
      </w:pPr>
    </w:p>
    <w:p>
      <w:pPr>
        <w:pStyle w:val="BodyText"/>
      </w:pPr>
    </w:p>
    <w:p>
      <w:pPr>
        <w:pStyle w:val="BodyText"/>
        <w:spacing w:before="4"/>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7677"/>
      </w:tblGrid>
      <w:tr>
        <w:trPr>
          <w:trHeight w:val="460" w:hRule="atLeast"/>
        </w:trPr>
        <w:tc>
          <w:tcPr>
            <w:tcW w:w="1181" w:type="dxa"/>
          </w:tcPr>
          <w:p>
            <w:pPr>
              <w:pStyle w:val="TableParagraph"/>
              <w:spacing w:line="225" w:lineRule="auto" w:before="6"/>
              <w:ind w:right="391"/>
              <w:rPr>
                <w:b/>
                <w:sz w:val="20"/>
              </w:rPr>
            </w:pPr>
            <w:r>
              <w:rPr>
                <w:b/>
                <w:spacing w:val="-2"/>
                <w:sz w:val="20"/>
              </w:rPr>
              <w:t>Repeat </w:t>
            </w:r>
            <w:r>
              <w:rPr>
                <w:b/>
                <w:spacing w:val="-4"/>
                <w:sz w:val="20"/>
              </w:rPr>
              <w:t>Rule</w:t>
            </w:r>
          </w:p>
        </w:tc>
        <w:tc>
          <w:tcPr>
            <w:tcW w:w="7677" w:type="dxa"/>
          </w:tcPr>
          <w:p>
            <w:pPr>
              <w:pStyle w:val="TableParagraph"/>
              <w:spacing w:line="225" w:lineRule="exact"/>
              <w:ind w:left="3362" w:right="3362"/>
              <w:jc w:val="center"/>
              <w:rPr>
                <w:b/>
                <w:sz w:val="20"/>
              </w:rPr>
            </w:pPr>
            <w:r>
              <w:rPr>
                <w:b/>
                <w:spacing w:val="-2"/>
                <w:sz w:val="20"/>
              </w:rPr>
              <w:t>Definition</w:t>
            </w:r>
          </w:p>
        </w:tc>
      </w:tr>
      <w:tr>
        <w:trPr>
          <w:trHeight w:val="220" w:hRule="atLeast"/>
        </w:trPr>
        <w:tc>
          <w:tcPr>
            <w:tcW w:w="1181" w:type="dxa"/>
          </w:tcPr>
          <w:p>
            <w:pPr>
              <w:pStyle w:val="TableParagraph"/>
              <w:rPr>
                <w:b/>
                <w:sz w:val="20"/>
              </w:rPr>
            </w:pPr>
            <w:r>
              <w:rPr>
                <w:b/>
                <w:spacing w:val="-4"/>
                <w:sz w:val="20"/>
              </w:rPr>
              <w:t>None</w:t>
            </w:r>
          </w:p>
        </w:tc>
        <w:tc>
          <w:tcPr>
            <w:tcW w:w="7677" w:type="dxa"/>
          </w:tcPr>
          <w:p>
            <w:pPr>
              <w:pStyle w:val="TableParagraph"/>
              <w:rPr>
                <w:sz w:val="20"/>
              </w:rPr>
            </w:pPr>
            <w:r>
              <w:rPr>
                <w:sz w:val="20"/>
              </w:rPr>
              <w:t>No</w:t>
            </w:r>
            <w:r>
              <w:rPr>
                <w:spacing w:val="-8"/>
                <w:sz w:val="20"/>
              </w:rPr>
              <w:t> </w:t>
            </w:r>
            <w:r>
              <w:rPr>
                <w:sz w:val="20"/>
              </w:rPr>
              <w:t>repeat</w:t>
            </w:r>
            <w:r>
              <w:rPr>
                <w:spacing w:val="-7"/>
                <w:sz w:val="20"/>
              </w:rPr>
              <w:t> </w:t>
            </w:r>
            <w:r>
              <w:rPr>
                <w:sz w:val="20"/>
              </w:rPr>
              <w:t>processing,</w:t>
            </w:r>
            <w:r>
              <w:rPr>
                <w:spacing w:val="-5"/>
                <w:sz w:val="20"/>
              </w:rPr>
              <w:t> </w:t>
            </w:r>
            <w:r>
              <w:rPr>
                <w:sz w:val="20"/>
              </w:rPr>
              <w:t>using</w:t>
            </w:r>
            <w:r>
              <w:rPr>
                <w:spacing w:val="-8"/>
                <w:sz w:val="20"/>
              </w:rPr>
              <w:t> </w:t>
            </w:r>
            <w:r>
              <w:rPr>
                <w:sz w:val="20"/>
              </w:rPr>
              <w:t>the</w:t>
            </w:r>
            <w:r>
              <w:rPr>
                <w:spacing w:val="-5"/>
                <w:sz w:val="20"/>
              </w:rPr>
              <w:t> </w:t>
            </w:r>
            <w:r>
              <w:rPr>
                <w:sz w:val="20"/>
              </w:rPr>
              <w:t>university</w:t>
            </w:r>
            <w:r>
              <w:rPr>
                <w:spacing w:val="-10"/>
                <w:sz w:val="20"/>
              </w:rPr>
              <w:t> </w:t>
            </w:r>
            <w:r>
              <w:rPr>
                <w:sz w:val="20"/>
              </w:rPr>
              <w:t>policy</w:t>
            </w:r>
            <w:r>
              <w:rPr>
                <w:spacing w:val="-10"/>
                <w:sz w:val="20"/>
              </w:rPr>
              <w:t> </w:t>
            </w:r>
            <w:r>
              <w:rPr>
                <w:spacing w:val="-4"/>
                <w:sz w:val="20"/>
              </w:rPr>
              <w:t>only.</w:t>
            </w:r>
          </w:p>
        </w:tc>
      </w:tr>
      <w:tr>
        <w:trPr>
          <w:trHeight w:val="690" w:hRule="atLeast"/>
        </w:trPr>
        <w:tc>
          <w:tcPr>
            <w:tcW w:w="1181" w:type="dxa"/>
          </w:tcPr>
          <w:p>
            <w:pPr>
              <w:pStyle w:val="TableParagraph"/>
              <w:spacing w:line="225" w:lineRule="exact"/>
              <w:rPr>
                <w:b/>
                <w:sz w:val="20"/>
              </w:rPr>
            </w:pPr>
            <w:r>
              <w:rPr>
                <w:b/>
                <w:spacing w:val="-2"/>
                <w:sz w:val="20"/>
              </w:rPr>
              <w:t>Average</w:t>
            </w:r>
          </w:p>
        </w:tc>
        <w:tc>
          <w:tcPr>
            <w:tcW w:w="7677" w:type="dxa"/>
          </w:tcPr>
          <w:p>
            <w:pPr>
              <w:pStyle w:val="TableParagraph"/>
              <w:spacing w:line="230" w:lineRule="exact"/>
              <w:ind w:right="123"/>
              <w:rPr>
                <w:sz w:val="20"/>
              </w:rPr>
            </w:pPr>
            <w:r>
              <w:rPr>
                <w:sz w:val="20"/>
              </w:rPr>
              <w:t>This is the most common rule. Include all grades received for this class in the G.P.A.,</w:t>
            </w:r>
            <w:r>
              <w:rPr>
                <w:spacing w:val="-4"/>
                <w:sz w:val="20"/>
              </w:rPr>
              <w:t> </w:t>
            </w:r>
            <w:r>
              <w:rPr>
                <w:sz w:val="20"/>
              </w:rPr>
              <w:t>but</w:t>
            </w:r>
            <w:r>
              <w:rPr>
                <w:spacing w:val="-4"/>
                <w:sz w:val="20"/>
              </w:rPr>
              <w:t> </w:t>
            </w:r>
            <w:r>
              <w:rPr>
                <w:sz w:val="20"/>
              </w:rPr>
              <w:t>only</w:t>
            </w:r>
            <w:r>
              <w:rPr>
                <w:spacing w:val="-6"/>
                <w:sz w:val="20"/>
              </w:rPr>
              <w:t> </w:t>
            </w:r>
            <w:r>
              <w:rPr>
                <w:sz w:val="20"/>
              </w:rPr>
              <w:t>give</w:t>
            </w:r>
            <w:r>
              <w:rPr>
                <w:spacing w:val="-4"/>
                <w:sz w:val="20"/>
              </w:rPr>
              <w:t> </w:t>
            </w:r>
            <w:r>
              <w:rPr>
                <w:sz w:val="20"/>
              </w:rPr>
              <w:t>academic</w:t>
            </w:r>
            <w:r>
              <w:rPr>
                <w:spacing w:val="-5"/>
                <w:sz w:val="20"/>
              </w:rPr>
              <w:t> </w:t>
            </w:r>
            <w:r>
              <w:rPr>
                <w:sz w:val="20"/>
              </w:rPr>
              <w:t>credit</w:t>
            </w:r>
            <w:r>
              <w:rPr>
                <w:spacing w:val="-4"/>
                <w:sz w:val="20"/>
              </w:rPr>
              <w:t> </w:t>
            </w:r>
            <w:r>
              <w:rPr>
                <w:sz w:val="20"/>
              </w:rPr>
              <w:t>(hours)</w:t>
            </w:r>
            <w:r>
              <w:rPr>
                <w:spacing w:val="-3"/>
                <w:sz w:val="20"/>
              </w:rPr>
              <w:t> </w:t>
            </w:r>
            <w:r>
              <w:rPr>
                <w:sz w:val="20"/>
              </w:rPr>
              <w:t>once.</w:t>
            </w:r>
            <w:r>
              <w:rPr>
                <w:spacing w:val="-4"/>
                <w:sz w:val="20"/>
              </w:rPr>
              <w:t> </w:t>
            </w:r>
            <w:r>
              <w:rPr>
                <w:sz w:val="20"/>
              </w:rPr>
              <w:t>Keep</w:t>
            </w:r>
            <w:r>
              <w:rPr>
                <w:spacing w:val="-5"/>
                <w:sz w:val="20"/>
              </w:rPr>
              <w:t> </w:t>
            </w:r>
            <w:r>
              <w:rPr>
                <w:sz w:val="20"/>
              </w:rPr>
              <w:t>the</w:t>
            </w:r>
            <w:r>
              <w:rPr>
                <w:spacing w:val="-4"/>
                <w:sz w:val="20"/>
              </w:rPr>
              <w:t> </w:t>
            </w:r>
            <w:r>
              <w:rPr>
                <w:sz w:val="20"/>
              </w:rPr>
              <w:t>hours</w:t>
            </w:r>
            <w:r>
              <w:rPr>
                <w:spacing w:val="-3"/>
                <w:sz w:val="20"/>
              </w:rPr>
              <w:t> </w:t>
            </w:r>
            <w:r>
              <w:rPr>
                <w:sz w:val="20"/>
              </w:rPr>
              <w:t>for</w:t>
            </w:r>
            <w:r>
              <w:rPr>
                <w:spacing w:val="-4"/>
                <w:sz w:val="20"/>
              </w:rPr>
              <w:t> </w:t>
            </w:r>
            <w:r>
              <w:rPr>
                <w:sz w:val="20"/>
              </w:rPr>
              <w:t>the</w:t>
            </w:r>
            <w:r>
              <w:rPr>
                <w:spacing w:val="-5"/>
                <w:sz w:val="20"/>
              </w:rPr>
              <w:t> </w:t>
            </w:r>
            <w:r>
              <w:rPr>
                <w:sz w:val="20"/>
              </w:rPr>
              <w:t>best </w:t>
            </w:r>
            <w:r>
              <w:rPr>
                <w:spacing w:val="-2"/>
                <w:sz w:val="20"/>
              </w:rPr>
              <w:t>grade.</w:t>
            </w:r>
          </w:p>
        </w:tc>
      </w:tr>
      <w:tr>
        <w:trPr>
          <w:trHeight w:val="438" w:hRule="atLeast"/>
        </w:trPr>
        <w:tc>
          <w:tcPr>
            <w:tcW w:w="1181" w:type="dxa"/>
          </w:tcPr>
          <w:p>
            <w:pPr>
              <w:pStyle w:val="TableParagraph"/>
              <w:spacing w:line="222" w:lineRule="exact"/>
              <w:rPr>
                <w:b/>
                <w:sz w:val="20"/>
              </w:rPr>
            </w:pPr>
            <w:r>
              <w:rPr>
                <w:b/>
                <w:spacing w:val="-4"/>
                <w:sz w:val="20"/>
              </w:rPr>
              <w:t>Best</w:t>
            </w:r>
          </w:p>
        </w:tc>
        <w:tc>
          <w:tcPr>
            <w:tcW w:w="7677" w:type="dxa"/>
          </w:tcPr>
          <w:p>
            <w:pPr>
              <w:pStyle w:val="TableParagraph"/>
              <w:spacing w:line="214" w:lineRule="exact"/>
              <w:rPr>
                <w:sz w:val="20"/>
              </w:rPr>
            </w:pPr>
            <w:r>
              <w:rPr>
                <w:sz w:val="20"/>
              </w:rPr>
              <w:t>Only</w:t>
            </w:r>
            <w:r>
              <w:rPr>
                <w:spacing w:val="-5"/>
                <w:sz w:val="20"/>
              </w:rPr>
              <w:t> </w:t>
            </w:r>
            <w:r>
              <w:rPr>
                <w:sz w:val="20"/>
              </w:rPr>
              <w:t>the</w:t>
            </w:r>
            <w:r>
              <w:rPr>
                <w:spacing w:val="-2"/>
                <w:sz w:val="20"/>
              </w:rPr>
              <w:t> </w:t>
            </w:r>
            <w:r>
              <w:rPr>
                <w:sz w:val="20"/>
              </w:rPr>
              <w:t>best attempt</w:t>
            </w:r>
            <w:r>
              <w:rPr>
                <w:spacing w:val="-4"/>
                <w:sz w:val="20"/>
              </w:rPr>
              <w:t> </w:t>
            </w:r>
            <w:r>
              <w:rPr>
                <w:sz w:val="20"/>
              </w:rPr>
              <w:t>is</w:t>
            </w:r>
            <w:r>
              <w:rPr>
                <w:spacing w:val="-3"/>
                <w:sz w:val="20"/>
              </w:rPr>
              <w:t> </w:t>
            </w:r>
            <w:r>
              <w:rPr>
                <w:sz w:val="20"/>
              </w:rPr>
              <w:t>counted</w:t>
            </w:r>
            <w:r>
              <w:rPr>
                <w:spacing w:val="-4"/>
                <w:sz w:val="20"/>
              </w:rPr>
              <w:t> </w:t>
            </w:r>
            <w:r>
              <w:rPr>
                <w:sz w:val="20"/>
              </w:rPr>
              <w:t>for</w:t>
            </w:r>
            <w:r>
              <w:rPr>
                <w:spacing w:val="-4"/>
                <w:sz w:val="20"/>
              </w:rPr>
              <w:t> </w:t>
            </w:r>
            <w:r>
              <w:rPr>
                <w:sz w:val="20"/>
              </w:rPr>
              <w:t>credit</w:t>
            </w:r>
            <w:r>
              <w:rPr>
                <w:spacing w:val="-4"/>
                <w:sz w:val="20"/>
              </w:rPr>
              <w:t> </w:t>
            </w:r>
            <w:r>
              <w:rPr>
                <w:sz w:val="20"/>
              </w:rPr>
              <w:t>(hours)</w:t>
            </w:r>
            <w:r>
              <w:rPr>
                <w:spacing w:val="-3"/>
                <w:sz w:val="20"/>
              </w:rPr>
              <w:t> </w:t>
            </w:r>
            <w:r>
              <w:rPr>
                <w:sz w:val="20"/>
              </w:rPr>
              <w:t>and</w:t>
            </w:r>
            <w:r>
              <w:rPr>
                <w:spacing w:val="-2"/>
                <w:sz w:val="20"/>
              </w:rPr>
              <w:t> </w:t>
            </w:r>
            <w:r>
              <w:rPr>
                <w:sz w:val="20"/>
              </w:rPr>
              <w:t>G.P.A.</w:t>
            </w:r>
            <w:r>
              <w:rPr>
                <w:spacing w:val="-4"/>
                <w:sz w:val="20"/>
              </w:rPr>
              <w:t> </w:t>
            </w:r>
            <w:r>
              <w:rPr>
                <w:sz w:val="20"/>
              </w:rPr>
              <w:t>All</w:t>
            </w:r>
            <w:r>
              <w:rPr>
                <w:spacing w:val="-3"/>
                <w:sz w:val="20"/>
              </w:rPr>
              <w:t> </w:t>
            </w:r>
            <w:r>
              <w:rPr>
                <w:sz w:val="20"/>
              </w:rPr>
              <w:t>other</w:t>
            </w:r>
            <w:r>
              <w:rPr>
                <w:spacing w:val="-4"/>
                <w:sz w:val="20"/>
              </w:rPr>
              <w:t> </w:t>
            </w:r>
            <w:r>
              <w:rPr>
                <w:sz w:val="20"/>
              </w:rPr>
              <w:t>attempts</w:t>
            </w:r>
            <w:r>
              <w:rPr>
                <w:spacing w:val="-3"/>
                <w:sz w:val="20"/>
              </w:rPr>
              <w:t> </w:t>
            </w:r>
            <w:r>
              <w:rPr>
                <w:sz w:val="20"/>
              </w:rPr>
              <w:t>are </w:t>
            </w:r>
            <w:r>
              <w:rPr>
                <w:spacing w:val="-2"/>
                <w:sz w:val="20"/>
              </w:rPr>
              <w:t>discarded.</w:t>
            </w:r>
          </w:p>
        </w:tc>
      </w:tr>
      <w:tr>
        <w:trPr>
          <w:trHeight w:val="220" w:hRule="atLeast"/>
        </w:trPr>
        <w:tc>
          <w:tcPr>
            <w:tcW w:w="1181" w:type="dxa"/>
          </w:tcPr>
          <w:p>
            <w:pPr>
              <w:pStyle w:val="TableParagraph"/>
              <w:rPr>
                <w:b/>
                <w:sz w:val="20"/>
              </w:rPr>
            </w:pPr>
            <w:r>
              <w:rPr>
                <w:b/>
                <w:spacing w:val="-2"/>
                <w:sz w:val="20"/>
              </w:rPr>
              <w:t>Latest</w:t>
            </w:r>
          </w:p>
        </w:tc>
        <w:tc>
          <w:tcPr>
            <w:tcW w:w="7677" w:type="dxa"/>
          </w:tcPr>
          <w:p>
            <w:pPr>
              <w:pStyle w:val="TableParagraph"/>
              <w:rPr>
                <w:sz w:val="20"/>
              </w:rPr>
            </w:pPr>
            <w:r>
              <w:rPr>
                <w:sz w:val="20"/>
              </w:rPr>
              <w:t>Only</w:t>
            </w:r>
            <w:r>
              <w:rPr>
                <w:spacing w:val="-8"/>
                <w:sz w:val="20"/>
              </w:rPr>
              <w:t> </w:t>
            </w:r>
            <w:r>
              <w:rPr>
                <w:sz w:val="20"/>
              </w:rPr>
              <w:t>the</w:t>
            </w:r>
            <w:r>
              <w:rPr>
                <w:spacing w:val="-4"/>
                <w:sz w:val="20"/>
              </w:rPr>
              <w:t> </w:t>
            </w:r>
            <w:r>
              <w:rPr>
                <w:sz w:val="20"/>
              </w:rPr>
              <w:t>most</w:t>
            </w:r>
            <w:r>
              <w:rPr>
                <w:spacing w:val="-6"/>
                <w:sz w:val="20"/>
              </w:rPr>
              <w:t> </w:t>
            </w:r>
            <w:r>
              <w:rPr>
                <w:sz w:val="20"/>
              </w:rPr>
              <w:t>recent</w:t>
            </w:r>
            <w:r>
              <w:rPr>
                <w:spacing w:val="-6"/>
                <w:sz w:val="20"/>
              </w:rPr>
              <w:t> </w:t>
            </w:r>
            <w:r>
              <w:rPr>
                <w:sz w:val="20"/>
              </w:rPr>
              <w:t>attempt</w:t>
            </w:r>
            <w:r>
              <w:rPr>
                <w:spacing w:val="-6"/>
                <w:sz w:val="20"/>
              </w:rPr>
              <w:t> </w:t>
            </w:r>
            <w:r>
              <w:rPr>
                <w:sz w:val="20"/>
              </w:rPr>
              <w:t>is</w:t>
            </w:r>
            <w:r>
              <w:rPr>
                <w:spacing w:val="-6"/>
                <w:sz w:val="20"/>
              </w:rPr>
              <w:t> </w:t>
            </w:r>
            <w:r>
              <w:rPr>
                <w:sz w:val="20"/>
              </w:rPr>
              <w:t>counted</w:t>
            </w:r>
            <w:r>
              <w:rPr>
                <w:spacing w:val="-6"/>
                <w:sz w:val="20"/>
              </w:rPr>
              <w:t> </w:t>
            </w:r>
            <w:r>
              <w:rPr>
                <w:sz w:val="20"/>
              </w:rPr>
              <w:t>for</w:t>
            </w:r>
            <w:r>
              <w:rPr>
                <w:spacing w:val="-6"/>
                <w:sz w:val="20"/>
              </w:rPr>
              <w:t> </w:t>
            </w:r>
            <w:r>
              <w:rPr>
                <w:sz w:val="20"/>
              </w:rPr>
              <w:t>credit</w:t>
            </w:r>
            <w:r>
              <w:rPr>
                <w:spacing w:val="-6"/>
                <w:sz w:val="20"/>
              </w:rPr>
              <w:t> </w:t>
            </w:r>
            <w:r>
              <w:rPr>
                <w:sz w:val="20"/>
              </w:rPr>
              <w:t>(hours)</w:t>
            </w:r>
            <w:r>
              <w:rPr>
                <w:spacing w:val="-5"/>
                <w:sz w:val="20"/>
              </w:rPr>
              <w:t> </w:t>
            </w:r>
            <w:r>
              <w:rPr>
                <w:sz w:val="20"/>
              </w:rPr>
              <w:t>and</w:t>
            </w:r>
            <w:r>
              <w:rPr>
                <w:spacing w:val="-6"/>
                <w:sz w:val="20"/>
              </w:rPr>
              <w:t> </w:t>
            </w:r>
            <w:r>
              <w:rPr>
                <w:spacing w:val="-2"/>
                <w:sz w:val="20"/>
              </w:rPr>
              <w:t>G.P.A.</w:t>
            </w:r>
          </w:p>
        </w:tc>
      </w:tr>
      <w:tr>
        <w:trPr>
          <w:trHeight w:val="220" w:hRule="atLeast"/>
        </w:trPr>
        <w:tc>
          <w:tcPr>
            <w:tcW w:w="1181" w:type="dxa"/>
          </w:tcPr>
          <w:p>
            <w:pPr>
              <w:pStyle w:val="TableParagraph"/>
              <w:rPr>
                <w:b/>
                <w:sz w:val="20"/>
              </w:rPr>
            </w:pPr>
            <w:r>
              <w:rPr>
                <w:b/>
                <w:spacing w:val="-2"/>
                <w:sz w:val="20"/>
              </w:rPr>
              <w:t>First</w:t>
            </w:r>
          </w:p>
        </w:tc>
        <w:tc>
          <w:tcPr>
            <w:tcW w:w="7677" w:type="dxa"/>
          </w:tcPr>
          <w:p>
            <w:pPr>
              <w:pStyle w:val="TableParagraph"/>
              <w:rPr>
                <w:sz w:val="20"/>
              </w:rPr>
            </w:pPr>
            <w:r>
              <w:rPr>
                <w:sz w:val="20"/>
              </w:rPr>
              <w:t>Only</w:t>
            </w:r>
            <w:r>
              <w:rPr>
                <w:spacing w:val="-7"/>
                <w:sz w:val="20"/>
              </w:rPr>
              <w:t> </w:t>
            </w:r>
            <w:r>
              <w:rPr>
                <w:sz w:val="20"/>
              </w:rPr>
              <w:t>the</w:t>
            </w:r>
            <w:r>
              <w:rPr>
                <w:spacing w:val="-5"/>
                <w:sz w:val="20"/>
              </w:rPr>
              <w:t> </w:t>
            </w:r>
            <w:r>
              <w:rPr>
                <w:sz w:val="20"/>
              </w:rPr>
              <w:t>first</w:t>
            </w:r>
            <w:r>
              <w:rPr>
                <w:spacing w:val="-6"/>
                <w:sz w:val="20"/>
              </w:rPr>
              <w:t> </w:t>
            </w:r>
            <w:r>
              <w:rPr>
                <w:sz w:val="20"/>
              </w:rPr>
              <w:t>attempt</w:t>
            </w:r>
            <w:r>
              <w:rPr>
                <w:spacing w:val="-6"/>
                <w:sz w:val="20"/>
              </w:rPr>
              <w:t> </w:t>
            </w:r>
            <w:r>
              <w:rPr>
                <w:sz w:val="20"/>
              </w:rPr>
              <w:t>is</w:t>
            </w:r>
            <w:r>
              <w:rPr>
                <w:spacing w:val="-5"/>
                <w:sz w:val="20"/>
              </w:rPr>
              <w:t> </w:t>
            </w:r>
            <w:r>
              <w:rPr>
                <w:sz w:val="20"/>
              </w:rPr>
              <w:t>counted</w:t>
            </w:r>
            <w:r>
              <w:rPr>
                <w:spacing w:val="-6"/>
                <w:sz w:val="20"/>
              </w:rPr>
              <w:t> </w:t>
            </w:r>
            <w:r>
              <w:rPr>
                <w:sz w:val="20"/>
              </w:rPr>
              <w:t>for</w:t>
            </w:r>
            <w:r>
              <w:rPr>
                <w:spacing w:val="-6"/>
                <w:sz w:val="20"/>
              </w:rPr>
              <w:t> </w:t>
            </w:r>
            <w:r>
              <w:rPr>
                <w:sz w:val="20"/>
              </w:rPr>
              <w:t>credit</w:t>
            </w:r>
            <w:r>
              <w:rPr>
                <w:spacing w:val="-6"/>
                <w:sz w:val="20"/>
              </w:rPr>
              <w:t> </w:t>
            </w:r>
            <w:r>
              <w:rPr>
                <w:sz w:val="20"/>
              </w:rPr>
              <w:t>(hours)</w:t>
            </w:r>
            <w:r>
              <w:rPr>
                <w:spacing w:val="-5"/>
                <w:sz w:val="20"/>
              </w:rPr>
              <w:t> </w:t>
            </w:r>
            <w:r>
              <w:rPr>
                <w:sz w:val="20"/>
              </w:rPr>
              <w:t>and</w:t>
            </w:r>
            <w:r>
              <w:rPr>
                <w:spacing w:val="-5"/>
                <w:sz w:val="20"/>
              </w:rPr>
              <w:t> </w:t>
            </w:r>
            <w:r>
              <w:rPr>
                <w:spacing w:val="-2"/>
                <w:sz w:val="20"/>
              </w:rPr>
              <w:t>G.P.A.</w:t>
            </w:r>
          </w:p>
        </w:tc>
      </w:tr>
    </w:tbl>
    <w:p>
      <w:pPr>
        <w:pStyle w:val="BodyText"/>
      </w:pPr>
    </w:p>
    <w:p>
      <w:pPr>
        <w:pStyle w:val="BodyText"/>
        <w:spacing w:before="2"/>
        <w:rPr>
          <w:sz w:val="19"/>
        </w:rPr>
      </w:pPr>
    </w:p>
    <w:p>
      <w:pPr>
        <w:pStyle w:val="BodyText"/>
        <w:ind w:left="961"/>
        <w:rPr>
          <w:i/>
        </w:rPr>
      </w:pPr>
      <w:r>
        <w:rPr/>
        <w:t>Presently,</w:t>
      </w:r>
      <w:r>
        <w:rPr>
          <w:spacing w:val="-6"/>
        </w:rPr>
        <w:t> </w:t>
      </w:r>
      <w:r>
        <w:rPr/>
        <w:t>the</w:t>
      </w:r>
      <w:r>
        <w:rPr>
          <w:spacing w:val="-7"/>
        </w:rPr>
        <w:t> </w:t>
      </w:r>
      <w:r>
        <w:rPr/>
        <w:t>school</w:t>
      </w:r>
      <w:r>
        <w:rPr>
          <w:spacing w:val="-7"/>
        </w:rPr>
        <w:t> </w:t>
      </w:r>
      <w:r>
        <w:rPr/>
        <w:t>uses</w:t>
      </w:r>
      <w:r>
        <w:rPr>
          <w:spacing w:val="-7"/>
        </w:rPr>
        <w:t> </w:t>
      </w:r>
      <w:r>
        <w:rPr/>
        <w:t>the</w:t>
      </w:r>
      <w:r>
        <w:rPr>
          <w:spacing w:val="-7"/>
        </w:rPr>
        <w:t> </w:t>
      </w:r>
      <w:r>
        <w:rPr/>
        <w:t>“average”</w:t>
      </w:r>
      <w:r>
        <w:rPr>
          <w:spacing w:val="-7"/>
        </w:rPr>
        <w:t> </w:t>
      </w:r>
      <w:r>
        <w:rPr/>
        <w:t>repeat</w:t>
      </w:r>
      <w:r>
        <w:rPr>
          <w:spacing w:val="-7"/>
        </w:rPr>
        <w:t> </w:t>
      </w:r>
      <w:r>
        <w:rPr/>
        <w:t>rule</w:t>
      </w:r>
      <w:r>
        <w:rPr>
          <w:spacing w:val="-5"/>
        </w:rPr>
        <w:t> </w:t>
      </w:r>
      <w:r>
        <w:rPr/>
        <w:t>in</w:t>
      </w:r>
      <w:r>
        <w:rPr>
          <w:spacing w:val="-6"/>
        </w:rPr>
        <w:t> </w:t>
      </w:r>
      <w:r>
        <w:rPr/>
        <w:t>the</w:t>
      </w:r>
      <w:r>
        <w:rPr>
          <w:spacing w:val="-7"/>
        </w:rPr>
        <w:t> </w:t>
      </w:r>
      <w:r>
        <w:rPr/>
        <w:t>calculation</w:t>
      </w:r>
      <w:r>
        <w:rPr>
          <w:spacing w:val="-7"/>
        </w:rPr>
        <w:t> </w:t>
      </w:r>
      <w:r>
        <w:rPr/>
        <w:t>of</w:t>
      </w:r>
      <w:r>
        <w:rPr>
          <w:spacing w:val="-6"/>
        </w:rPr>
        <w:t> </w:t>
      </w:r>
      <w:r>
        <w:rPr/>
        <w:t>the</w:t>
      </w:r>
      <w:r>
        <w:rPr>
          <w:spacing w:val="3"/>
        </w:rPr>
        <w:t> </w:t>
      </w:r>
      <w:r>
        <w:rPr>
          <w:i/>
          <w:spacing w:val="-2"/>
        </w:rPr>
        <w:t>School</w:t>
      </w:r>
    </w:p>
    <w:p>
      <w:pPr>
        <w:pStyle w:val="BodyText"/>
        <w:spacing w:before="4"/>
        <w:ind w:left="242"/>
      </w:pPr>
      <w:r>
        <w:rPr>
          <w:spacing w:val="-2"/>
        </w:rPr>
        <w:t>G.P.A.</w:t>
      </w:r>
    </w:p>
    <w:p>
      <w:pPr>
        <w:spacing w:before="0"/>
        <w:ind w:left="959" w:right="125" w:firstLine="0"/>
        <w:jc w:val="left"/>
        <w:rPr>
          <w:sz w:val="20"/>
        </w:rPr>
      </w:pPr>
      <w:r>
        <w:rPr>
          <w:b/>
          <w:sz w:val="20"/>
        </w:rPr>
        <w:t>OTE</w:t>
      </w:r>
      <w:r>
        <w:rPr>
          <w:b/>
          <w:spacing w:val="-5"/>
          <w:sz w:val="20"/>
        </w:rPr>
        <w:t> </w:t>
      </w:r>
      <w:r>
        <w:rPr>
          <w:b/>
          <w:sz w:val="20"/>
        </w:rPr>
        <w:t>Recommendation:</w:t>
      </w:r>
      <w:r>
        <w:rPr>
          <w:b/>
          <w:spacing w:val="-2"/>
          <w:sz w:val="20"/>
        </w:rPr>
        <w:t> </w:t>
      </w:r>
      <w:r>
        <w:rPr>
          <w:sz w:val="20"/>
        </w:rPr>
        <w:t>Continued</w:t>
      </w:r>
      <w:r>
        <w:rPr>
          <w:spacing w:val="-5"/>
          <w:sz w:val="20"/>
        </w:rPr>
        <w:t> </w:t>
      </w:r>
      <w:r>
        <w:rPr>
          <w:sz w:val="20"/>
        </w:rPr>
        <w:t>use</w:t>
      </w:r>
      <w:r>
        <w:rPr>
          <w:spacing w:val="-3"/>
          <w:sz w:val="20"/>
        </w:rPr>
        <w:t> </w:t>
      </w:r>
      <w:r>
        <w:rPr>
          <w:sz w:val="20"/>
        </w:rPr>
        <w:t>of</w:t>
      </w:r>
      <w:r>
        <w:rPr>
          <w:spacing w:val="-3"/>
          <w:sz w:val="20"/>
        </w:rPr>
        <w:t> </w:t>
      </w:r>
      <w:r>
        <w:rPr>
          <w:sz w:val="20"/>
        </w:rPr>
        <w:t>the</w:t>
      </w:r>
      <w:r>
        <w:rPr>
          <w:spacing w:val="-5"/>
          <w:sz w:val="20"/>
        </w:rPr>
        <w:t> </w:t>
      </w:r>
      <w:r>
        <w:rPr>
          <w:sz w:val="20"/>
        </w:rPr>
        <w:t>“average”</w:t>
      </w:r>
      <w:r>
        <w:rPr>
          <w:spacing w:val="-5"/>
          <w:sz w:val="20"/>
        </w:rPr>
        <w:t> </w:t>
      </w:r>
      <w:r>
        <w:rPr>
          <w:sz w:val="20"/>
        </w:rPr>
        <w:t>repeat</w:t>
      </w:r>
      <w:r>
        <w:rPr>
          <w:spacing w:val="-5"/>
          <w:sz w:val="20"/>
        </w:rPr>
        <w:t> </w:t>
      </w:r>
      <w:r>
        <w:rPr>
          <w:sz w:val="20"/>
        </w:rPr>
        <w:t>rule</w:t>
      </w:r>
      <w:r>
        <w:rPr>
          <w:spacing w:val="-5"/>
          <w:sz w:val="20"/>
        </w:rPr>
        <w:t> </w:t>
      </w:r>
      <w:r>
        <w:rPr>
          <w:sz w:val="20"/>
        </w:rPr>
        <w:t>(the</w:t>
      </w:r>
      <w:r>
        <w:rPr>
          <w:spacing w:val="-3"/>
          <w:sz w:val="20"/>
        </w:rPr>
        <w:t> </w:t>
      </w:r>
      <w:r>
        <w:rPr>
          <w:sz w:val="20"/>
        </w:rPr>
        <w:t>most</w:t>
      </w:r>
      <w:r>
        <w:rPr>
          <w:spacing w:val="-5"/>
          <w:sz w:val="20"/>
        </w:rPr>
        <w:t> </w:t>
      </w:r>
      <w:r>
        <w:rPr>
          <w:sz w:val="20"/>
        </w:rPr>
        <w:t>common one used on the campus) as the </w:t>
      </w:r>
      <w:r>
        <w:rPr>
          <w:i/>
          <w:sz w:val="20"/>
        </w:rPr>
        <w:t>one, consistent </w:t>
      </w:r>
      <w:r>
        <w:rPr>
          <w:sz w:val="20"/>
        </w:rPr>
        <w:t>repeat rule for the </w:t>
      </w:r>
      <w:r>
        <w:rPr>
          <w:i/>
          <w:sz w:val="20"/>
        </w:rPr>
        <w:t>School </w:t>
      </w:r>
      <w:r>
        <w:rPr>
          <w:sz w:val="20"/>
        </w:rPr>
        <w:t>G.P.A.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8"/>
        </w:rPr>
      </w:pPr>
    </w:p>
    <w:p>
      <w:pPr>
        <w:spacing w:before="94"/>
        <w:ind w:left="242" w:right="0" w:firstLine="0"/>
        <w:jc w:val="left"/>
        <w:rPr>
          <w:sz w:val="18"/>
        </w:rPr>
      </w:pPr>
      <w:r>
        <w:rPr>
          <w:sz w:val="18"/>
        </w:rPr>
        <w:t>jds</w:t>
      </w:r>
      <w:r>
        <w:rPr>
          <w:spacing w:val="-1"/>
          <w:sz w:val="18"/>
        </w:rPr>
        <w:t> </w:t>
      </w:r>
      <w:r>
        <w:rPr>
          <w:spacing w:val="-2"/>
          <w:sz w:val="18"/>
        </w:rPr>
        <w:t>2/9/06</w:t>
      </w:r>
    </w:p>
    <w:sectPr>
      <w:pgSz w:w="12240" w:h="15840"/>
      <w:pgMar w:top="1500" w:bottom="280" w:left="17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288"/>
        <w:jc w:val="righ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48" w:hanging="288"/>
      </w:pPr>
      <w:rPr>
        <w:rFonts w:hint="default"/>
        <w:lang w:val="en-US" w:eastAsia="en-US" w:bidi="ar-SA"/>
      </w:rPr>
    </w:lvl>
    <w:lvl w:ilvl="2">
      <w:start w:val="0"/>
      <w:numFmt w:val="bullet"/>
      <w:lvlText w:val="•"/>
      <w:lvlJc w:val="left"/>
      <w:pPr>
        <w:ind w:left="2476" w:hanging="288"/>
      </w:pPr>
      <w:rPr>
        <w:rFonts w:hint="default"/>
        <w:lang w:val="en-US" w:eastAsia="en-US" w:bidi="ar-SA"/>
      </w:rPr>
    </w:lvl>
    <w:lvl w:ilvl="3">
      <w:start w:val="0"/>
      <w:numFmt w:val="bullet"/>
      <w:lvlText w:val="•"/>
      <w:lvlJc w:val="left"/>
      <w:pPr>
        <w:ind w:left="3304" w:hanging="288"/>
      </w:pPr>
      <w:rPr>
        <w:rFonts w:hint="default"/>
        <w:lang w:val="en-US" w:eastAsia="en-US" w:bidi="ar-SA"/>
      </w:rPr>
    </w:lvl>
    <w:lvl w:ilvl="4">
      <w:start w:val="0"/>
      <w:numFmt w:val="bullet"/>
      <w:lvlText w:val="•"/>
      <w:lvlJc w:val="left"/>
      <w:pPr>
        <w:ind w:left="4132" w:hanging="288"/>
      </w:pPr>
      <w:rPr>
        <w:rFonts w:hint="default"/>
        <w:lang w:val="en-US" w:eastAsia="en-US" w:bidi="ar-SA"/>
      </w:rPr>
    </w:lvl>
    <w:lvl w:ilvl="5">
      <w:start w:val="0"/>
      <w:numFmt w:val="bullet"/>
      <w:lvlText w:val="•"/>
      <w:lvlJc w:val="left"/>
      <w:pPr>
        <w:ind w:left="4960" w:hanging="288"/>
      </w:pPr>
      <w:rPr>
        <w:rFonts w:hint="default"/>
        <w:lang w:val="en-US" w:eastAsia="en-US" w:bidi="ar-SA"/>
      </w:rPr>
    </w:lvl>
    <w:lvl w:ilvl="6">
      <w:start w:val="0"/>
      <w:numFmt w:val="bullet"/>
      <w:lvlText w:val="•"/>
      <w:lvlJc w:val="left"/>
      <w:pPr>
        <w:ind w:left="5788" w:hanging="288"/>
      </w:pPr>
      <w:rPr>
        <w:rFonts w:hint="default"/>
        <w:lang w:val="en-US" w:eastAsia="en-US" w:bidi="ar-SA"/>
      </w:rPr>
    </w:lvl>
    <w:lvl w:ilvl="7">
      <w:start w:val="0"/>
      <w:numFmt w:val="bullet"/>
      <w:lvlText w:val="•"/>
      <w:lvlJc w:val="left"/>
      <w:pPr>
        <w:ind w:left="6616" w:hanging="288"/>
      </w:pPr>
      <w:rPr>
        <w:rFonts w:hint="default"/>
        <w:lang w:val="en-US" w:eastAsia="en-US" w:bidi="ar-SA"/>
      </w:rPr>
    </w:lvl>
    <w:lvl w:ilvl="8">
      <w:start w:val="0"/>
      <w:numFmt w:val="bullet"/>
      <w:lvlText w:val="•"/>
      <w:lvlJc w:val="left"/>
      <w:pPr>
        <w:ind w:left="7444" w:hanging="288"/>
      </w:pPr>
      <w:rPr>
        <w:rFonts w:hint="default"/>
        <w:lang w:val="en-US" w:eastAsia="en-US" w:bidi="ar-SA"/>
      </w:rPr>
    </w:lvl>
  </w:abstractNum>
  <w:abstractNum w:abstractNumId="0">
    <w:multiLevelType w:val="hybridMultilevel"/>
    <w:lvl w:ilvl="0">
      <w:start w:val="0"/>
      <w:numFmt w:val="bullet"/>
      <w:lvlText w:val=""/>
      <w:lvlJc w:val="left"/>
      <w:pPr>
        <w:ind w:left="2621" w:hanging="361"/>
      </w:pPr>
      <w:rPr>
        <w:rFonts w:hint="default" w:ascii="Symbol" w:hAnsi="Symbol" w:eastAsia="Symbol" w:cs="Symbol"/>
        <w:b w:val="0"/>
        <w:bCs w:val="0"/>
        <w:i w:val="0"/>
        <w:iCs w:val="0"/>
        <w:spacing w:val="0"/>
        <w:w w:val="97"/>
        <w:sz w:val="20"/>
        <w:szCs w:val="20"/>
        <w:lang w:val="en-US" w:eastAsia="en-US" w:bidi="ar-SA"/>
      </w:rPr>
    </w:lvl>
    <w:lvl w:ilvl="1">
      <w:start w:val="0"/>
      <w:numFmt w:val="bullet"/>
      <w:lvlText w:val="•"/>
      <w:lvlJc w:val="left"/>
      <w:pPr>
        <w:ind w:left="3268" w:hanging="361"/>
      </w:pPr>
      <w:rPr>
        <w:rFonts w:hint="default"/>
        <w:lang w:val="en-US" w:eastAsia="en-US" w:bidi="ar-SA"/>
      </w:rPr>
    </w:lvl>
    <w:lvl w:ilvl="2">
      <w:start w:val="0"/>
      <w:numFmt w:val="bullet"/>
      <w:lvlText w:val="•"/>
      <w:lvlJc w:val="left"/>
      <w:pPr>
        <w:ind w:left="3916" w:hanging="361"/>
      </w:pPr>
      <w:rPr>
        <w:rFonts w:hint="default"/>
        <w:lang w:val="en-US" w:eastAsia="en-US" w:bidi="ar-SA"/>
      </w:rPr>
    </w:lvl>
    <w:lvl w:ilvl="3">
      <w:start w:val="0"/>
      <w:numFmt w:val="bullet"/>
      <w:lvlText w:val="•"/>
      <w:lvlJc w:val="left"/>
      <w:pPr>
        <w:ind w:left="4564" w:hanging="361"/>
      </w:pPr>
      <w:rPr>
        <w:rFonts w:hint="default"/>
        <w:lang w:val="en-US" w:eastAsia="en-US" w:bidi="ar-SA"/>
      </w:rPr>
    </w:lvl>
    <w:lvl w:ilvl="4">
      <w:start w:val="0"/>
      <w:numFmt w:val="bullet"/>
      <w:lvlText w:val="•"/>
      <w:lvlJc w:val="left"/>
      <w:pPr>
        <w:ind w:left="5212" w:hanging="361"/>
      </w:pPr>
      <w:rPr>
        <w:rFonts w:hint="default"/>
        <w:lang w:val="en-US" w:eastAsia="en-US" w:bidi="ar-SA"/>
      </w:rPr>
    </w:lvl>
    <w:lvl w:ilvl="5">
      <w:start w:val="0"/>
      <w:numFmt w:val="bullet"/>
      <w:lvlText w:val="•"/>
      <w:lvlJc w:val="left"/>
      <w:pPr>
        <w:ind w:left="5860" w:hanging="361"/>
      </w:pPr>
      <w:rPr>
        <w:rFonts w:hint="default"/>
        <w:lang w:val="en-US" w:eastAsia="en-US" w:bidi="ar-SA"/>
      </w:rPr>
    </w:lvl>
    <w:lvl w:ilvl="6">
      <w:start w:val="0"/>
      <w:numFmt w:val="bullet"/>
      <w:lvlText w:val="•"/>
      <w:lvlJc w:val="left"/>
      <w:pPr>
        <w:ind w:left="6508" w:hanging="361"/>
      </w:pPr>
      <w:rPr>
        <w:rFonts w:hint="default"/>
        <w:lang w:val="en-US" w:eastAsia="en-US" w:bidi="ar-SA"/>
      </w:rPr>
    </w:lvl>
    <w:lvl w:ilvl="7">
      <w:start w:val="0"/>
      <w:numFmt w:val="bullet"/>
      <w:lvlText w:val="•"/>
      <w:lvlJc w:val="left"/>
      <w:pPr>
        <w:ind w:left="7156" w:hanging="361"/>
      </w:pPr>
      <w:rPr>
        <w:rFonts w:hint="default"/>
        <w:lang w:val="en-US" w:eastAsia="en-US" w:bidi="ar-SA"/>
      </w:rPr>
    </w:lvl>
    <w:lvl w:ilvl="8">
      <w:start w:val="0"/>
      <w:numFmt w:val="bullet"/>
      <w:lvlText w:val="•"/>
      <w:lvlJc w:val="left"/>
      <w:pPr>
        <w:ind w:left="7804"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00"/>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2620" w:hanging="360"/>
    </w:pPr>
    <w:rPr>
      <w:rFonts w:ascii="Arial" w:hAnsi="Arial" w:eastAsia="Arial" w:cs="Arial"/>
      <w:lang w:val="en-US" w:eastAsia="en-US" w:bidi="ar-SA"/>
    </w:rPr>
  </w:style>
  <w:style w:styleId="TableParagraph" w:type="paragraph">
    <w:name w:val="Table Paragraph"/>
    <w:basedOn w:val="Normal"/>
    <w:uiPriority w:val="1"/>
    <w:qFormat/>
    <w:pPr>
      <w:spacing w:line="200" w:lineRule="exact"/>
      <w:ind w:left="1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 Administrator</dc:creator>
  <dc:title>Indiana University School of Education</dc:title>
  <dcterms:created xsi:type="dcterms:W3CDTF">2023-12-05T17:44:04Z</dcterms:created>
  <dcterms:modified xsi:type="dcterms:W3CDTF">2023-12-05T17:44:04Z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