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46"/>
        <w:ind w:right="1891"/>
        <w:jc w:val="center"/>
      </w:pPr>
      <w:r>
        <w:rPr/>
        <w:t>IUB</w:t>
      </w:r>
      <w:r>
        <w:rPr>
          <w:spacing w:val="-4"/>
        </w:rPr>
        <w:t> </w:t>
      </w:r>
      <w:r>
        <w:rPr/>
        <w:t>Criteria</w:t>
      </w:r>
      <w:r>
        <w:rPr>
          <w:spacing w:val="-5"/>
        </w:rPr>
        <w:t> </w:t>
      </w:r>
      <w:r>
        <w:rPr/>
        <w:t>for</w:t>
      </w:r>
      <w:r>
        <w:rPr>
          <w:spacing w:val="-4"/>
        </w:rPr>
        <w:t> </w:t>
      </w:r>
      <w:r>
        <w:rPr/>
        <w:t>Long</w:t>
      </w:r>
      <w:r>
        <w:rPr>
          <w:spacing w:val="-5"/>
        </w:rPr>
        <w:t> </w:t>
      </w:r>
      <w:r>
        <w:rPr/>
        <w:t>Term</w:t>
      </w:r>
      <w:r>
        <w:rPr>
          <w:spacing w:val="-5"/>
        </w:rPr>
        <w:t> </w:t>
      </w:r>
      <w:r>
        <w:rPr/>
        <w:t>Contract</w:t>
      </w:r>
      <w:r>
        <w:rPr>
          <w:spacing w:val="-5"/>
        </w:rPr>
        <w:t> </w:t>
      </w:r>
      <w:r>
        <w:rPr/>
        <w:t>for</w:t>
      </w:r>
      <w:r>
        <w:rPr>
          <w:spacing w:val="-3"/>
        </w:rPr>
        <w:t> </w:t>
      </w:r>
      <w:r>
        <w:rPr/>
        <w:t>Academic</w:t>
      </w:r>
      <w:r>
        <w:rPr>
          <w:spacing w:val="-2"/>
        </w:rPr>
        <w:t> Specialist</w:t>
      </w:r>
    </w:p>
    <w:p>
      <w:pPr>
        <w:pStyle w:val="BodyText"/>
        <w:spacing w:before="1"/>
        <w:rPr>
          <w:b/>
        </w:rPr>
      </w:pPr>
    </w:p>
    <w:p>
      <w:pPr>
        <w:pStyle w:val="BodyText"/>
        <w:ind w:left="120" w:right="103"/>
      </w:pPr>
      <w:r>
        <w:rPr/>
        <w:t>The School of Education criteria for long-term contracts for Academic Specialists are guided by the general</w:t>
      </w:r>
      <w:r>
        <w:rPr>
          <w:spacing w:val="-2"/>
        </w:rPr>
        <w:t> </w:t>
      </w:r>
      <w:r>
        <w:rPr/>
        <w:t>statements</w:t>
      </w:r>
      <w:r>
        <w:rPr>
          <w:spacing w:val="-5"/>
        </w:rPr>
        <w:t> </w:t>
      </w:r>
      <w:r>
        <w:rPr/>
        <w:t>in</w:t>
      </w:r>
      <w:r>
        <w:rPr>
          <w:spacing w:val="-2"/>
        </w:rPr>
        <w:t> </w:t>
      </w:r>
      <w:r>
        <w:rPr/>
        <w:t>the</w:t>
      </w:r>
      <w:r>
        <w:rPr>
          <w:spacing w:val="-7"/>
        </w:rPr>
        <w:t> </w:t>
      </w:r>
      <w:r>
        <w:rPr/>
        <w:t>Non-tenure</w:t>
      </w:r>
      <w:r>
        <w:rPr>
          <w:spacing w:val="-4"/>
        </w:rPr>
        <w:t> </w:t>
      </w:r>
      <w:r>
        <w:rPr/>
        <w:t>Track</w:t>
      </w:r>
      <w:r>
        <w:rPr>
          <w:spacing w:val="-4"/>
        </w:rPr>
        <w:t> </w:t>
      </w:r>
      <w:r>
        <w:rPr/>
        <w:t>Handbook.</w:t>
      </w:r>
      <w:r>
        <w:rPr>
          <w:spacing w:val="-2"/>
        </w:rPr>
        <w:t> </w:t>
      </w:r>
      <w:r>
        <w:rPr/>
        <w:t>This</w:t>
      </w:r>
      <w:r>
        <w:rPr>
          <w:spacing w:val="-2"/>
        </w:rPr>
        <w:t> </w:t>
      </w:r>
      <w:r>
        <w:rPr/>
        <w:t>classification</w:t>
      </w:r>
      <w:r>
        <w:rPr>
          <w:spacing w:val="-3"/>
        </w:rPr>
        <w:t> </w:t>
      </w:r>
      <w:r>
        <w:rPr/>
        <w:t>was</w:t>
      </w:r>
      <w:r>
        <w:rPr>
          <w:spacing w:val="-2"/>
        </w:rPr>
        <w:t> </w:t>
      </w:r>
      <w:r>
        <w:rPr/>
        <w:t>established</w:t>
      </w:r>
      <w:r>
        <w:rPr>
          <w:spacing w:val="-1"/>
        </w:rPr>
        <w:t> </w:t>
      </w:r>
      <w:r>
        <w:rPr/>
        <w:t>for</w:t>
      </w:r>
      <w:r>
        <w:rPr>
          <w:spacing w:val="-5"/>
        </w:rPr>
        <w:t> </w:t>
      </w:r>
      <w:r>
        <w:rPr/>
        <w:t>individuals who do not routinely offer courses for credit or act as principal investigators, but who hold positions with responsibilities that require them to be accountable to an Academic Officer.</w:t>
      </w:r>
    </w:p>
    <w:p>
      <w:pPr>
        <w:pStyle w:val="BodyText"/>
        <w:spacing w:before="1"/>
      </w:pPr>
    </w:p>
    <w:p>
      <w:pPr>
        <w:pStyle w:val="BodyText"/>
        <w:ind w:left="120" w:right="103"/>
      </w:pPr>
      <w:r>
        <w:rPr/>
        <w:t>The purpose of this document is to outline the criteria for extending a long term contract to academic specialists. The focus of such positions should be on duties that support the academic mission of the University. While teaching is not the primary responsibility, they may, on occasion, teach courses for credit as part of their regular duties (i.e. through release time and not as an overload). Examples of responsibilities include: the dissemination of research and best practices related to the missions of the School of Education; providing service and outreach to education related audiences in the community, state,</w:t>
      </w:r>
      <w:r>
        <w:rPr>
          <w:spacing w:val="-5"/>
        </w:rPr>
        <w:t> </w:t>
      </w:r>
      <w:r>
        <w:rPr/>
        <w:t>nation,</w:t>
      </w:r>
      <w:r>
        <w:rPr>
          <w:spacing w:val="-6"/>
        </w:rPr>
        <w:t> </w:t>
      </w:r>
      <w:r>
        <w:rPr/>
        <w:t>and/or</w:t>
      </w:r>
      <w:r>
        <w:rPr>
          <w:spacing w:val="-3"/>
        </w:rPr>
        <w:t> </w:t>
      </w:r>
      <w:r>
        <w:rPr/>
        <w:t>the</w:t>
      </w:r>
      <w:r>
        <w:rPr>
          <w:spacing w:val="-3"/>
        </w:rPr>
        <w:t> </w:t>
      </w:r>
      <w:r>
        <w:rPr/>
        <w:t>world;</w:t>
      </w:r>
      <w:r>
        <w:rPr>
          <w:spacing w:val="-3"/>
        </w:rPr>
        <w:t> </w:t>
      </w:r>
      <w:r>
        <w:rPr/>
        <w:t>coordinating</w:t>
      </w:r>
      <w:r>
        <w:rPr>
          <w:spacing w:val="-4"/>
        </w:rPr>
        <w:t> </w:t>
      </w:r>
      <w:r>
        <w:rPr/>
        <w:t>curricula;</w:t>
      </w:r>
      <w:r>
        <w:rPr>
          <w:spacing w:val="-3"/>
        </w:rPr>
        <w:t> </w:t>
      </w:r>
      <w:r>
        <w:rPr/>
        <w:t>coordinating</w:t>
      </w:r>
      <w:r>
        <w:rPr>
          <w:spacing w:val="-4"/>
        </w:rPr>
        <w:t> </w:t>
      </w:r>
      <w:r>
        <w:rPr/>
        <w:t>AIs;</w:t>
      </w:r>
      <w:r>
        <w:rPr>
          <w:spacing w:val="-3"/>
        </w:rPr>
        <w:t> </w:t>
      </w:r>
      <w:r>
        <w:rPr/>
        <w:t>helping</w:t>
      </w:r>
      <w:r>
        <w:rPr>
          <w:spacing w:val="-4"/>
        </w:rPr>
        <w:t> </w:t>
      </w:r>
      <w:r>
        <w:rPr/>
        <w:t>to</w:t>
      </w:r>
      <w:r>
        <w:rPr>
          <w:spacing w:val="-2"/>
        </w:rPr>
        <w:t> </w:t>
      </w:r>
      <w:r>
        <w:rPr/>
        <w:t>advance</w:t>
      </w:r>
      <w:r>
        <w:rPr>
          <w:spacing w:val="-5"/>
        </w:rPr>
        <w:t> </w:t>
      </w:r>
      <w:r>
        <w:rPr/>
        <w:t>the</w:t>
      </w:r>
      <w:r>
        <w:rPr>
          <w:spacing w:val="-5"/>
        </w:rPr>
        <w:t> </w:t>
      </w:r>
      <w:r>
        <w:rPr/>
        <w:t>mission of research centers such as assisting with editing journals; curating; counseling; and program coordinating for centers or foreign universities.</w:t>
      </w:r>
    </w:p>
    <w:p>
      <w:pPr>
        <w:pStyle w:val="BodyText"/>
        <w:spacing w:before="10"/>
        <w:rPr>
          <w:sz w:val="21"/>
        </w:rPr>
      </w:pPr>
    </w:p>
    <w:p>
      <w:pPr>
        <w:pStyle w:val="BodyText"/>
        <w:ind w:left="118" w:right="132"/>
      </w:pPr>
      <w:r>
        <w:rPr/>
        <w:t>In the School of Education, academic specialists will be awarded rolling 3-year long-term contracts if they</w:t>
      </w:r>
      <w:r>
        <w:rPr>
          <w:spacing w:val="-4"/>
        </w:rPr>
        <w:t> </w:t>
      </w:r>
      <w:r>
        <w:rPr/>
        <w:t>meet</w:t>
      </w:r>
      <w:r>
        <w:rPr>
          <w:spacing w:val="-4"/>
        </w:rPr>
        <w:t> </w:t>
      </w:r>
      <w:r>
        <w:rPr/>
        <w:t>the</w:t>
      </w:r>
      <w:r>
        <w:rPr>
          <w:spacing w:val="-2"/>
        </w:rPr>
        <w:t> </w:t>
      </w:r>
      <w:r>
        <w:rPr/>
        <w:t>criteria</w:t>
      </w:r>
      <w:r>
        <w:rPr>
          <w:spacing w:val="-3"/>
        </w:rPr>
        <w:t> </w:t>
      </w:r>
      <w:r>
        <w:rPr/>
        <w:t>for</w:t>
      </w:r>
      <w:r>
        <w:rPr>
          <w:spacing w:val="-4"/>
        </w:rPr>
        <w:t> </w:t>
      </w:r>
      <w:r>
        <w:rPr/>
        <w:t>excellent</w:t>
      </w:r>
      <w:r>
        <w:rPr>
          <w:spacing w:val="-4"/>
        </w:rPr>
        <w:t> </w:t>
      </w:r>
      <w:r>
        <w:rPr/>
        <w:t>performance</w:t>
      </w:r>
      <w:r>
        <w:rPr>
          <w:spacing w:val="-1"/>
        </w:rPr>
        <w:t> </w:t>
      </w:r>
      <w:r>
        <w:rPr/>
        <w:t>in</w:t>
      </w:r>
      <w:r>
        <w:rPr>
          <w:spacing w:val="-5"/>
        </w:rPr>
        <w:t> </w:t>
      </w:r>
      <w:r>
        <w:rPr/>
        <w:t>one</w:t>
      </w:r>
      <w:r>
        <w:rPr>
          <w:spacing w:val="-2"/>
        </w:rPr>
        <w:t> </w:t>
      </w:r>
      <w:r>
        <w:rPr/>
        <w:t>or</w:t>
      </w:r>
      <w:r>
        <w:rPr>
          <w:spacing w:val="-4"/>
        </w:rPr>
        <w:t> </w:t>
      </w:r>
      <w:r>
        <w:rPr/>
        <w:t>more</w:t>
      </w:r>
      <w:r>
        <w:rPr>
          <w:spacing w:val="-4"/>
        </w:rPr>
        <w:t> </w:t>
      </w:r>
      <w:r>
        <w:rPr/>
        <w:t>of</w:t>
      </w:r>
      <w:r>
        <w:rPr>
          <w:spacing w:val="-4"/>
        </w:rPr>
        <w:t> </w:t>
      </w:r>
      <w:r>
        <w:rPr/>
        <w:t>the</w:t>
      </w:r>
      <w:r>
        <w:rPr>
          <w:spacing w:val="-4"/>
        </w:rPr>
        <w:t> </w:t>
      </w:r>
      <w:r>
        <w:rPr/>
        <w:t>above</w:t>
      </w:r>
      <w:r>
        <w:rPr>
          <w:spacing w:val="-2"/>
        </w:rPr>
        <w:t> </w:t>
      </w:r>
      <w:r>
        <w:rPr/>
        <w:t>responsibilities.</w:t>
      </w:r>
      <w:r>
        <w:rPr>
          <w:spacing w:val="-2"/>
        </w:rPr>
        <w:t> </w:t>
      </w:r>
      <w:r>
        <w:rPr/>
        <w:t>To</w:t>
      </w:r>
      <w:r>
        <w:rPr>
          <w:spacing w:val="-1"/>
        </w:rPr>
        <w:t> </w:t>
      </w:r>
      <w:r>
        <w:rPr/>
        <w:t>have a long term contract extended to academic specialists, the applicant must provide evidence of excellent service and outreach activities to the employing unit or research center. The evidence must document the responsibilities noted above. Finally, in order to extend long term contracts to academic specialists that are located in research centers funded on soft money, the center must provide evidence that the center has the financial means to provide long term funding for the academic specialist.</w:t>
      </w:r>
    </w:p>
    <w:p>
      <w:pPr>
        <w:pStyle w:val="BodyText"/>
      </w:pPr>
    </w:p>
    <w:p>
      <w:pPr>
        <w:pStyle w:val="BodyText"/>
        <w:spacing w:before="3"/>
        <w:rPr>
          <w:sz w:val="20"/>
        </w:rPr>
      </w:pPr>
    </w:p>
    <w:p>
      <w:pPr>
        <w:pStyle w:val="Heading1"/>
        <w:spacing w:line="265" w:lineRule="exact"/>
        <w:ind w:left="3781"/>
      </w:pPr>
      <w:r>
        <w:rPr>
          <w:u w:val="single"/>
        </w:rPr>
        <w:t>Long</w:t>
      </w:r>
      <w:r>
        <w:rPr>
          <w:spacing w:val="-2"/>
          <w:u w:val="single"/>
        </w:rPr>
        <w:t> </w:t>
      </w:r>
      <w:r>
        <w:rPr>
          <w:u w:val="single"/>
        </w:rPr>
        <w:t>Term</w:t>
      </w:r>
      <w:r>
        <w:rPr>
          <w:spacing w:val="-1"/>
          <w:u w:val="single"/>
        </w:rPr>
        <w:t> </w:t>
      </w:r>
      <w:r>
        <w:rPr>
          <w:spacing w:val="-2"/>
          <w:u w:val="single"/>
        </w:rPr>
        <w:t>Procedures</w:t>
      </w:r>
    </w:p>
    <w:p>
      <w:pPr>
        <w:pStyle w:val="BodyText"/>
        <w:ind w:left="118" w:right="118"/>
      </w:pPr>
      <w:r>
        <w:rPr/>
        <w:t>Given</w:t>
      </w:r>
      <w:r>
        <w:rPr>
          <w:spacing w:val="-4"/>
        </w:rPr>
        <w:t> </w:t>
      </w:r>
      <w:r>
        <w:rPr/>
        <w:t>the</w:t>
      </w:r>
      <w:r>
        <w:rPr>
          <w:spacing w:val="-1"/>
        </w:rPr>
        <w:t> </w:t>
      </w:r>
      <w:r>
        <w:rPr/>
        <w:t>degree</w:t>
      </w:r>
      <w:r>
        <w:rPr>
          <w:spacing w:val="-3"/>
        </w:rPr>
        <w:t> </w:t>
      </w:r>
      <w:r>
        <w:rPr/>
        <w:t>of</w:t>
      </w:r>
      <w:r>
        <w:rPr>
          <w:spacing w:val="-3"/>
        </w:rPr>
        <w:t> </w:t>
      </w:r>
      <w:r>
        <w:rPr/>
        <w:t>variance across</w:t>
      </w:r>
      <w:r>
        <w:rPr>
          <w:spacing w:val="-3"/>
        </w:rPr>
        <w:t> </w:t>
      </w:r>
      <w:r>
        <w:rPr/>
        <w:t>academic</w:t>
      </w:r>
      <w:r>
        <w:rPr>
          <w:spacing w:val="-3"/>
        </w:rPr>
        <w:t> </w:t>
      </w:r>
      <w:r>
        <w:rPr/>
        <w:t>specialist positions,</w:t>
      </w:r>
      <w:r>
        <w:rPr>
          <w:spacing w:val="-4"/>
        </w:rPr>
        <w:t> </w:t>
      </w:r>
      <w:r>
        <w:rPr/>
        <w:t>the</w:t>
      </w:r>
      <w:r>
        <w:rPr>
          <w:spacing w:val="-3"/>
        </w:rPr>
        <w:t> </w:t>
      </w:r>
      <w:r>
        <w:rPr/>
        <w:t>senior</w:t>
      </w:r>
      <w:r>
        <w:rPr>
          <w:spacing w:val="-3"/>
        </w:rPr>
        <w:t> </w:t>
      </w:r>
      <w:r>
        <w:rPr/>
        <w:t>administrator</w:t>
      </w:r>
      <w:r>
        <w:rPr>
          <w:spacing w:val="-3"/>
        </w:rPr>
        <w:t> </w:t>
      </w:r>
      <w:r>
        <w:rPr/>
        <w:t>or</w:t>
      </w:r>
      <w:r>
        <w:rPr>
          <w:spacing w:val="-1"/>
        </w:rPr>
        <w:t> </w:t>
      </w:r>
      <w:r>
        <w:rPr/>
        <w:t>director</w:t>
      </w:r>
      <w:r>
        <w:rPr>
          <w:spacing w:val="-1"/>
        </w:rPr>
        <w:t> </w:t>
      </w:r>
      <w:r>
        <w:rPr/>
        <w:t>in the unit in which the academic specialist is employed will determine criteria for a long-term contract</w:t>
      </w:r>
      <w:r>
        <w:rPr>
          <w:spacing w:val="40"/>
        </w:rPr>
        <w:t> </w:t>
      </w:r>
      <w:r>
        <w:rPr/>
        <w:t>and excellent performance. Based on these criteria, the candidate will compile a</w:t>
      </w:r>
      <w:r>
        <w:rPr>
          <w:spacing w:val="-2"/>
        </w:rPr>
        <w:t> </w:t>
      </w:r>
      <w:r>
        <w:rPr/>
        <w:t>dossier for review. The candidate should have a mentor-guide for this process.</w:t>
      </w:r>
      <w:r>
        <w:rPr>
          <w:spacing w:val="40"/>
        </w:rPr>
        <w:t> </w:t>
      </w:r>
      <w:r>
        <w:rPr/>
        <w:t>In the candidate’s fifth year, the final dossier</w:t>
      </w:r>
      <w:r>
        <w:rPr>
          <w:spacing w:val="40"/>
        </w:rPr>
        <w:t> </w:t>
      </w:r>
      <w:r>
        <w:rPr/>
        <w:t>will</w:t>
      </w:r>
      <w:r>
        <w:rPr>
          <w:spacing w:val="-2"/>
        </w:rPr>
        <w:t> </w:t>
      </w:r>
      <w:r>
        <w:rPr/>
        <w:t>be</w:t>
      </w:r>
      <w:r>
        <w:rPr>
          <w:spacing w:val="-2"/>
        </w:rPr>
        <w:t> </w:t>
      </w:r>
      <w:r>
        <w:rPr/>
        <w:t>prepared</w:t>
      </w:r>
      <w:r>
        <w:rPr>
          <w:spacing w:val="-2"/>
        </w:rPr>
        <w:t> </w:t>
      </w:r>
      <w:r>
        <w:rPr/>
        <w:t>by</w:t>
      </w:r>
      <w:r>
        <w:rPr>
          <w:spacing w:val="-4"/>
        </w:rPr>
        <w:t> </w:t>
      </w:r>
      <w:r>
        <w:rPr/>
        <w:t>the</w:t>
      </w:r>
      <w:r>
        <w:rPr>
          <w:spacing w:val="-2"/>
        </w:rPr>
        <w:t> </w:t>
      </w:r>
      <w:r>
        <w:rPr/>
        <w:t>candidate</w:t>
      </w:r>
      <w:r>
        <w:rPr>
          <w:spacing w:val="-2"/>
        </w:rPr>
        <w:t> </w:t>
      </w:r>
      <w:r>
        <w:rPr/>
        <w:t>and</w:t>
      </w:r>
      <w:r>
        <w:rPr>
          <w:spacing w:val="-4"/>
        </w:rPr>
        <w:t> </w:t>
      </w:r>
      <w:r>
        <w:rPr/>
        <w:t>the</w:t>
      </w:r>
      <w:r>
        <w:rPr>
          <w:spacing w:val="-4"/>
        </w:rPr>
        <w:t> </w:t>
      </w:r>
      <w:r>
        <w:rPr/>
        <w:t>candidate's</w:t>
      </w:r>
      <w:r>
        <w:rPr>
          <w:spacing w:val="-4"/>
        </w:rPr>
        <w:t> </w:t>
      </w:r>
      <w:r>
        <w:rPr/>
        <w:t>home</w:t>
      </w:r>
      <w:r>
        <w:rPr>
          <w:spacing w:val="-2"/>
        </w:rPr>
        <w:t> </w:t>
      </w:r>
      <w:r>
        <w:rPr/>
        <w:t>administrative</w:t>
      </w:r>
      <w:r>
        <w:rPr>
          <w:spacing w:val="-2"/>
        </w:rPr>
        <w:t> </w:t>
      </w:r>
      <w:r>
        <w:rPr/>
        <w:t>unit.</w:t>
      </w:r>
      <w:r>
        <w:rPr>
          <w:spacing w:val="-4"/>
        </w:rPr>
        <w:t> </w:t>
      </w:r>
      <w:r>
        <w:rPr/>
        <w:t>Both</w:t>
      </w:r>
      <w:r>
        <w:rPr>
          <w:spacing w:val="-2"/>
        </w:rPr>
        <w:t> </w:t>
      </w:r>
      <w:r>
        <w:rPr/>
        <w:t>the</w:t>
      </w:r>
      <w:r>
        <w:rPr>
          <w:spacing w:val="-2"/>
        </w:rPr>
        <w:t> </w:t>
      </w:r>
      <w:r>
        <w:rPr/>
        <w:t>third-year</w:t>
      </w:r>
      <w:r>
        <w:rPr>
          <w:spacing w:val="-2"/>
        </w:rPr>
        <w:t> </w:t>
      </w:r>
      <w:r>
        <w:rPr/>
        <w:t>and the fifth-year dossiers will be reviewed by the same review bodies, administrators, and advisory committees at the school as those used for extending long-term contracts to lecturers. A committee comprised of tenure track faculty, clinical faculty, research scientists and/or academic specialists who have been tenured or gone through the process of being awarded a long-term contract will act as the</w:t>
      </w:r>
    </w:p>
    <w:p>
      <w:pPr>
        <w:pStyle w:val="BodyText"/>
        <w:ind w:left="118"/>
      </w:pPr>
      <w:r>
        <w:rPr/>
        <w:t>primary</w:t>
      </w:r>
      <w:r>
        <w:rPr>
          <w:spacing w:val="-8"/>
        </w:rPr>
        <w:t> </w:t>
      </w:r>
      <w:r>
        <w:rPr/>
        <w:t>committee</w:t>
      </w:r>
      <w:r>
        <w:rPr>
          <w:spacing w:val="-5"/>
        </w:rPr>
        <w:t> </w:t>
      </w:r>
      <w:r>
        <w:rPr/>
        <w:t>to</w:t>
      </w:r>
      <w:r>
        <w:rPr>
          <w:spacing w:val="-5"/>
        </w:rPr>
        <w:t> </w:t>
      </w:r>
      <w:r>
        <w:rPr/>
        <w:t>review</w:t>
      </w:r>
      <w:r>
        <w:rPr>
          <w:spacing w:val="-3"/>
        </w:rPr>
        <w:t> </w:t>
      </w:r>
      <w:r>
        <w:rPr/>
        <w:t>the</w:t>
      </w:r>
      <w:r>
        <w:rPr>
          <w:spacing w:val="-3"/>
        </w:rPr>
        <w:t> </w:t>
      </w:r>
      <w:r>
        <w:rPr/>
        <w:t>dossier</w:t>
      </w:r>
      <w:r>
        <w:rPr>
          <w:spacing w:val="-4"/>
        </w:rPr>
        <w:t> </w:t>
      </w:r>
      <w:r>
        <w:rPr/>
        <w:t>and</w:t>
      </w:r>
      <w:r>
        <w:rPr>
          <w:spacing w:val="-7"/>
        </w:rPr>
        <w:t> </w:t>
      </w:r>
      <w:r>
        <w:rPr/>
        <w:t>make</w:t>
      </w:r>
      <w:r>
        <w:rPr>
          <w:spacing w:val="-3"/>
        </w:rPr>
        <w:t> </w:t>
      </w:r>
      <w:r>
        <w:rPr/>
        <w:t>a</w:t>
      </w:r>
      <w:r>
        <w:rPr>
          <w:spacing w:val="-7"/>
        </w:rPr>
        <w:t> </w:t>
      </w:r>
      <w:r>
        <w:rPr/>
        <w:t>recommendation</w:t>
      </w:r>
      <w:r>
        <w:rPr>
          <w:spacing w:val="-4"/>
        </w:rPr>
        <w:t> </w:t>
      </w:r>
      <w:r>
        <w:rPr/>
        <w:t>to</w:t>
      </w:r>
      <w:r>
        <w:rPr>
          <w:spacing w:val="-4"/>
        </w:rPr>
        <w:t> </w:t>
      </w:r>
      <w:r>
        <w:rPr/>
        <w:t>the</w:t>
      </w:r>
      <w:r>
        <w:rPr>
          <w:spacing w:val="-3"/>
        </w:rPr>
        <w:t> </w:t>
      </w:r>
      <w:r>
        <w:rPr/>
        <w:t>School’s</w:t>
      </w:r>
      <w:r>
        <w:rPr>
          <w:spacing w:val="-6"/>
        </w:rPr>
        <w:t> </w:t>
      </w:r>
      <w:r>
        <w:rPr>
          <w:spacing w:val="-2"/>
        </w:rPr>
        <w:t>Promotion,</w:t>
      </w:r>
    </w:p>
    <w:p>
      <w:pPr>
        <w:pStyle w:val="BodyText"/>
        <w:ind w:left="118" w:right="132"/>
      </w:pPr>
      <w:r>
        <w:rPr/>
        <w:t>Tenure</w:t>
      </w:r>
      <w:r>
        <w:rPr>
          <w:spacing w:val="-3"/>
        </w:rPr>
        <w:t> </w:t>
      </w:r>
      <w:r>
        <w:rPr/>
        <w:t>and</w:t>
      </w:r>
      <w:r>
        <w:rPr>
          <w:spacing w:val="-4"/>
        </w:rPr>
        <w:t> </w:t>
      </w:r>
      <w:r>
        <w:rPr/>
        <w:t>Contracts</w:t>
      </w:r>
      <w:r>
        <w:rPr>
          <w:spacing w:val="-2"/>
        </w:rPr>
        <w:t> </w:t>
      </w:r>
      <w:r>
        <w:rPr/>
        <w:t>Committee</w:t>
      </w:r>
      <w:r>
        <w:rPr>
          <w:spacing w:val="-3"/>
        </w:rPr>
        <w:t> </w:t>
      </w:r>
      <w:r>
        <w:rPr/>
        <w:t>for</w:t>
      </w:r>
      <w:r>
        <w:rPr>
          <w:spacing w:val="-3"/>
        </w:rPr>
        <w:t> </w:t>
      </w:r>
      <w:r>
        <w:rPr/>
        <w:t>its</w:t>
      </w:r>
      <w:r>
        <w:rPr>
          <w:spacing w:val="-2"/>
        </w:rPr>
        <w:t> </w:t>
      </w:r>
      <w:r>
        <w:rPr/>
        <w:t>review.</w:t>
      </w:r>
      <w:r>
        <w:rPr>
          <w:spacing w:val="-3"/>
        </w:rPr>
        <w:t> </w:t>
      </w:r>
      <w:r>
        <w:rPr/>
        <w:t>The</w:t>
      </w:r>
      <w:r>
        <w:rPr>
          <w:spacing w:val="-3"/>
        </w:rPr>
        <w:t> </w:t>
      </w:r>
      <w:r>
        <w:rPr/>
        <w:t>dossier</w:t>
      </w:r>
      <w:r>
        <w:rPr>
          <w:spacing w:val="-6"/>
        </w:rPr>
        <w:t> </w:t>
      </w:r>
      <w:r>
        <w:rPr/>
        <w:t>is</w:t>
      </w:r>
      <w:r>
        <w:rPr>
          <w:spacing w:val="-3"/>
        </w:rPr>
        <w:t> </w:t>
      </w:r>
      <w:r>
        <w:rPr/>
        <w:t>then</w:t>
      </w:r>
      <w:r>
        <w:rPr>
          <w:spacing w:val="-3"/>
        </w:rPr>
        <w:t> </w:t>
      </w:r>
      <w:r>
        <w:rPr/>
        <w:t>reviewed</w:t>
      </w:r>
      <w:r>
        <w:rPr>
          <w:spacing w:val="-3"/>
        </w:rPr>
        <w:t> </w:t>
      </w:r>
      <w:r>
        <w:rPr/>
        <w:t>by</w:t>
      </w:r>
      <w:r>
        <w:rPr>
          <w:spacing w:val="-5"/>
        </w:rPr>
        <w:t> </w:t>
      </w:r>
      <w:r>
        <w:rPr/>
        <w:t>the</w:t>
      </w:r>
      <w:r>
        <w:rPr>
          <w:spacing w:val="-3"/>
        </w:rPr>
        <w:t> </w:t>
      </w:r>
      <w:r>
        <w:rPr/>
        <w:t>School’s</w:t>
      </w:r>
      <w:r>
        <w:rPr>
          <w:spacing w:val="-6"/>
        </w:rPr>
        <w:t> </w:t>
      </w:r>
      <w:r>
        <w:rPr/>
        <w:t>Promotion, Tenure and Contracts Committee and the Dean of the School of Education. The rights and due process of the promotion procedures are parallel to those of</w:t>
      </w:r>
      <w:r>
        <w:rPr>
          <w:spacing w:val="-16"/>
        </w:rPr>
        <w:t> </w:t>
      </w:r>
      <w:r>
        <w:rPr/>
        <w:t>lecturers.</w:t>
      </w:r>
    </w:p>
    <w:p>
      <w:pPr>
        <w:pStyle w:val="BodyText"/>
        <w:spacing w:before="3"/>
      </w:pPr>
    </w:p>
    <w:p>
      <w:pPr>
        <w:spacing w:line="240" w:lineRule="auto" w:before="0"/>
        <w:ind w:left="120" w:right="94" w:firstLine="0"/>
        <w:jc w:val="left"/>
        <w:rPr>
          <w:rFonts w:ascii="Times New Roman" w:hAnsi="Times New Roman"/>
          <w:b/>
          <w:sz w:val="24"/>
        </w:rPr>
      </w:pPr>
      <w:r>
        <w:rPr>
          <w:rFonts w:ascii="Times New Roman" w:hAnsi="Times New Roman"/>
          <w:b/>
          <w:sz w:val="24"/>
        </w:rPr>
        <w:t>The</w:t>
      </w:r>
      <w:r>
        <w:rPr>
          <w:rFonts w:ascii="Times New Roman" w:hAnsi="Times New Roman"/>
          <w:b/>
          <w:spacing w:val="-4"/>
          <w:sz w:val="24"/>
        </w:rPr>
        <w:t> </w:t>
      </w:r>
      <w:r>
        <w:rPr>
          <w:rFonts w:ascii="Times New Roman" w:hAnsi="Times New Roman"/>
          <w:b/>
          <w:sz w:val="24"/>
        </w:rPr>
        <w:t>timeline</w:t>
      </w:r>
      <w:r>
        <w:rPr>
          <w:rFonts w:ascii="Times New Roman" w:hAnsi="Times New Roman"/>
          <w:b/>
          <w:spacing w:val="-4"/>
          <w:sz w:val="24"/>
        </w:rPr>
        <w:t> </w:t>
      </w:r>
      <w:r>
        <w:rPr>
          <w:rFonts w:ascii="Times New Roman" w:hAnsi="Times New Roman"/>
          <w:b/>
          <w:sz w:val="24"/>
        </w:rPr>
        <w:t>and</w:t>
      </w:r>
      <w:r>
        <w:rPr>
          <w:rFonts w:ascii="Times New Roman" w:hAnsi="Times New Roman"/>
          <w:b/>
          <w:spacing w:val="-3"/>
          <w:sz w:val="24"/>
        </w:rPr>
        <w:t> </w:t>
      </w:r>
      <w:r>
        <w:rPr>
          <w:rFonts w:ascii="Times New Roman" w:hAnsi="Times New Roman"/>
          <w:b/>
          <w:sz w:val="24"/>
        </w:rPr>
        <w:t>procedures</w:t>
      </w:r>
      <w:r>
        <w:rPr>
          <w:rFonts w:ascii="Times New Roman" w:hAnsi="Times New Roman"/>
          <w:b/>
          <w:spacing w:val="-4"/>
          <w:sz w:val="24"/>
        </w:rPr>
        <w:t> </w:t>
      </w:r>
      <w:r>
        <w:rPr>
          <w:rFonts w:ascii="Times New Roman" w:hAnsi="Times New Roman"/>
          <w:b/>
          <w:sz w:val="24"/>
        </w:rPr>
        <w:t>for</w:t>
      </w:r>
      <w:r>
        <w:rPr>
          <w:rFonts w:ascii="Times New Roman" w:hAnsi="Times New Roman"/>
          <w:b/>
          <w:spacing w:val="-4"/>
          <w:sz w:val="24"/>
        </w:rPr>
        <w:t> </w:t>
      </w:r>
      <w:r>
        <w:rPr>
          <w:rFonts w:ascii="Times New Roman" w:hAnsi="Times New Roman"/>
          <w:b/>
          <w:sz w:val="24"/>
        </w:rPr>
        <w:t>academic</w:t>
      </w:r>
      <w:r>
        <w:rPr>
          <w:rFonts w:ascii="Times New Roman" w:hAnsi="Times New Roman"/>
          <w:b/>
          <w:spacing w:val="-4"/>
          <w:sz w:val="24"/>
        </w:rPr>
        <w:t> </w:t>
      </w:r>
      <w:r>
        <w:rPr>
          <w:rFonts w:ascii="Times New Roman" w:hAnsi="Times New Roman"/>
          <w:b/>
          <w:sz w:val="24"/>
        </w:rPr>
        <w:t>specialists’</w:t>
      </w:r>
      <w:r>
        <w:rPr>
          <w:rFonts w:ascii="Times New Roman" w:hAnsi="Times New Roman"/>
          <w:b/>
          <w:spacing w:val="-3"/>
          <w:sz w:val="24"/>
        </w:rPr>
        <w:t> </w:t>
      </w:r>
      <w:r>
        <w:rPr>
          <w:rFonts w:ascii="Times New Roman" w:hAnsi="Times New Roman"/>
          <w:b/>
          <w:sz w:val="24"/>
        </w:rPr>
        <w:t>long-term</w:t>
      </w:r>
      <w:r>
        <w:rPr>
          <w:rFonts w:ascii="Times New Roman" w:hAnsi="Times New Roman"/>
          <w:b/>
          <w:spacing w:val="-4"/>
          <w:sz w:val="24"/>
        </w:rPr>
        <w:t> </w:t>
      </w:r>
      <w:r>
        <w:rPr>
          <w:rFonts w:ascii="Times New Roman" w:hAnsi="Times New Roman"/>
          <w:b/>
          <w:sz w:val="24"/>
        </w:rPr>
        <w:t>contracts</w:t>
      </w:r>
      <w:r>
        <w:rPr>
          <w:rFonts w:ascii="Times New Roman" w:hAnsi="Times New Roman"/>
          <w:b/>
          <w:spacing w:val="-3"/>
          <w:sz w:val="24"/>
        </w:rPr>
        <w:t> </w:t>
      </w:r>
      <w:r>
        <w:rPr>
          <w:rFonts w:ascii="Times New Roman" w:hAnsi="Times New Roman"/>
          <w:b/>
          <w:sz w:val="24"/>
        </w:rPr>
        <w:t>shall</w:t>
      </w:r>
      <w:r>
        <w:rPr>
          <w:rFonts w:ascii="Times New Roman" w:hAnsi="Times New Roman"/>
          <w:b/>
          <w:spacing w:val="-3"/>
          <w:sz w:val="24"/>
        </w:rPr>
        <w:t> </w:t>
      </w:r>
      <w:r>
        <w:rPr>
          <w:rFonts w:ascii="Times New Roman" w:hAnsi="Times New Roman"/>
          <w:b/>
          <w:sz w:val="24"/>
        </w:rPr>
        <w:t>include:</w:t>
      </w:r>
      <w:r>
        <w:rPr>
          <w:rFonts w:ascii="Times New Roman" w:hAnsi="Times New Roman"/>
          <w:b/>
          <w:spacing w:val="-3"/>
          <w:sz w:val="24"/>
        </w:rPr>
        <w:t> </w:t>
      </w:r>
      <w:r>
        <w:rPr>
          <w:rFonts w:ascii="Times New Roman" w:hAnsi="Times New Roman"/>
          <w:b/>
          <w:sz w:val="24"/>
        </w:rPr>
        <w:t>(a) submission to the department chair or</w:t>
      </w:r>
      <w:r>
        <w:rPr>
          <w:rFonts w:ascii="Times New Roman" w:hAnsi="Times New Roman"/>
          <w:b/>
          <w:spacing w:val="40"/>
          <w:sz w:val="24"/>
        </w:rPr>
        <w:t> </w:t>
      </w:r>
      <w:r>
        <w:rPr>
          <w:rFonts w:ascii="Times New Roman" w:hAnsi="Times New Roman"/>
          <w:b/>
          <w:sz w:val="24"/>
        </w:rPr>
        <w:t>center director of a portfolio consisting of a complete curriculum vitae, materials deemed relevant by the chair or center director and the academic specialist on or before August 15 of the candidates 6</w:t>
      </w:r>
      <w:r>
        <w:rPr>
          <w:rFonts w:ascii="Times New Roman" w:hAnsi="Times New Roman"/>
          <w:b/>
          <w:sz w:val="24"/>
          <w:vertAlign w:val="superscript"/>
        </w:rPr>
        <w:t>th</w:t>
      </w:r>
      <w:r>
        <w:rPr>
          <w:rFonts w:ascii="Times New Roman" w:hAnsi="Times New Roman"/>
          <w:b/>
          <w:spacing w:val="-13"/>
          <w:sz w:val="24"/>
          <w:vertAlign w:val="baseline"/>
        </w:rPr>
        <w:t> </w:t>
      </w:r>
      <w:r>
        <w:rPr>
          <w:rFonts w:ascii="Times New Roman" w:hAnsi="Times New Roman"/>
          <w:b/>
          <w:sz w:val="24"/>
          <w:vertAlign w:val="baseline"/>
        </w:rPr>
        <w:t>year of employment;</w:t>
      </w:r>
    </w:p>
    <w:p>
      <w:pPr>
        <w:pStyle w:val="ListParagraph"/>
        <w:numPr>
          <w:ilvl w:val="0"/>
          <w:numId w:val="1"/>
        </w:numPr>
        <w:tabs>
          <w:tab w:pos="470" w:val="left" w:leader="none"/>
        </w:tabs>
        <w:spacing w:line="240" w:lineRule="auto" w:before="0" w:after="0"/>
        <w:ind w:left="120" w:right="242" w:firstLine="0"/>
        <w:jc w:val="left"/>
        <w:rPr>
          <w:b/>
          <w:sz w:val="24"/>
        </w:rPr>
      </w:pPr>
      <w:r>
        <w:rPr>
          <w:b/>
          <w:sz w:val="24"/>
        </w:rPr>
        <w:t>a recommendation of the department chair or center director, usually determined through</w:t>
      </w:r>
      <w:r>
        <w:rPr>
          <w:b/>
          <w:spacing w:val="-7"/>
          <w:sz w:val="24"/>
        </w:rPr>
        <w:t> </w:t>
      </w:r>
      <w:r>
        <w:rPr>
          <w:b/>
          <w:sz w:val="24"/>
        </w:rPr>
        <w:t>the</w:t>
      </w:r>
      <w:r>
        <w:rPr>
          <w:b/>
          <w:spacing w:val="-5"/>
          <w:sz w:val="24"/>
        </w:rPr>
        <w:t> </w:t>
      </w:r>
      <w:r>
        <w:rPr>
          <w:b/>
          <w:sz w:val="24"/>
        </w:rPr>
        <w:t>department</w:t>
      </w:r>
      <w:r>
        <w:rPr>
          <w:b/>
          <w:spacing w:val="-5"/>
          <w:sz w:val="24"/>
        </w:rPr>
        <w:t> </w:t>
      </w:r>
      <w:r>
        <w:rPr>
          <w:b/>
          <w:sz w:val="24"/>
        </w:rPr>
        <w:t>or</w:t>
      </w:r>
      <w:r>
        <w:rPr>
          <w:b/>
          <w:spacing w:val="-6"/>
          <w:sz w:val="24"/>
        </w:rPr>
        <w:t> </w:t>
      </w:r>
      <w:r>
        <w:rPr>
          <w:b/>
          <w:sz w:val="24"/>
        </w:rPr>
        <w:t>center</w:t>
      </w:r>
      <w:r>
        <w:rPr>
          <w:b/>
          <w:spacing w:val="-4"/>
          <w:sz w:val="24"/>
        </w:rPr>
        <w:t> </w:t>
      </w:r>
      <w:r>
        <w:rPr>
          <w:b/>
          <w:sz w:val="24"/>
        </w:rPr>
        <w:t>Promotions</w:t>
      </w:r>
      <w:r>
        <w:rPr>
          <w:b/>
          <w:spacing w:val="-3"/>
          <w:sz w:val="24"/>
        </w:rPr>
        <w:t> </w:t>
      </w:r>
      <w:r>
        <w:rPr>
          <w:b/>
          <w:sz w:val="24"/>
        </w:rPr>
        <w:t>Advisory</w:t>
      </w:r>
      <w:r>
        <w:rPr>
          <w:b/>
          <w:spacing w:val="-2"/>
          <w:sz w:val="24"/>
        </w:rPr>
        <w:t> </w:t>
      </w:r>
      <w:r>
        <w:rPr>
          <w:b/>
          <w:sz w:val="24"/>
        </w:rPr>
        <w:t>committee</w:t>
      </w:r>
      <w:r>
        <w:rPr>
          <w:b/>
          <w:spacing w:val="-6"/>
          <w:sz w:val="24"/>
        </w:rPr>
        <w:t> </w:t>
      </w:r>
      <w:r>
        <w:rPr>
          <w:b/>
          <w:sz w:val="24"/>
        </w:rPr>
        <w:t>process,</w:t>
      </w:r>
      <w:r>
        <w:rPr>
          <w:b/>
          <w:spacing w:val="-5"/>
          <w:sz w:val="24"/>
        </w:rPr>
        <w:t> </w:t>
      </w:r>
      <w:r>
        <w:rPr>
          <w:b/>
          <w:sz w:val="24"/>
        </w:rPr>
        <w:t>conveyed</w:t>
      </w:r>
      <w:r>
        <w:rPr>
          <w:b/>
          <w:spacing w:val="-24"/>
          <w:sz w:val="24"/>
        </w:rPr>
        <w:t> </w:t>
      </w:r>
      <w:r>
        <w:rPr>
          <w:b/>
          <w:sz w:val="24"/>
        </w:rPr>
        <w:t>with</w:t>
      </w:r>
    </w:p>
    <w:p>
      <w:pPr>
        <w:spacing w:after="0" w:line="240" w:lineRule="auto"/>
        <w:jc w:val="left"/>
        <w:rPr>
          <w:sz w:val="24"/>
        </w:rPr>
        <w:sectPr>
          <w:headerReference w:type="default" r:id="rId5"/>
          <w:type w:val="continuous"/>
          <w:pgSz w:w="12240" w:h="15840"/>
          <w:pgMar w:header="763" w:footer="0" w:top="1340" w:bottom="280" w:left="1320" w:right="1360"/>
          <w:pgNumType w:start="1"/>
        </w:sectPr>
      </w:pPr>
    </w:p>
    <w:p>
      <w:pPr>
        <w:spacing w:before="82"/>
        <w:ind w:left="120" w:right="0" w:firstLine="0"/>
        <w:jc w:val="left"/>
        <w:rPr>
          <w:rFonts w:ascii="Times New Roman"/>
          <w:b/>
          <w:sz w:val="24"/>
        </w:rPr>
      </w:pPr>
      <w:r>
        <w:rPr>
          <w:rFonts w:ascii="Times New Roman"/>
          <w:b/>
          <w:sz w:val="24"/>
        </w:rPr>
        <w:t>the</w:t>
      </w:r>
      <w:r>
        <w:rPr>
          <w:rFonts w:ascii="Times New Roman"/>
          <w:b/>
          <w:spacing w:val="-3"/>
          <w:sz w:val="24"/>
        </w:rPr>
        <w:t> </w:t>
      </w:r>
      <w:r>
        <w:rPr>
          <w:rFonts w:ascii="Times New Roman"/>
          <w:b/>
          <w:sz w:val="24"/>
        </w:rPr>
        <w:t>portfolio</w:t>
      </w:r>
      <w:r>
        <w:rPr>
          <w:rFonts w:ascii="Times New Roman"/>
          <w:b/>
          <w:spacing w:val="-1"/>
          <w:sz w:val="24"/>
        </w:rPr>
        <w:t> </w:t>
      </w:r>
      <w:r>
        <w:rPr>
          <w:rFonts w:ascii="Times New Roman"/>
          <w:b/>
          <w:sz w:val="24"/>
        </w:rPr>
        <w:t>to</w:t>
      </w:r>
      <w:r>
        <w:rPr>
          <w:rFonts w:ascii="Times New Roman"/>
          <w:b/>
          <w:spacing w:val="-2"/>
          <w:sz w:val="24"/>
        </w:rPr>
        <w:t> </w:t>
      </w:r>
      <w:r>
        <w:rPr>
          <w:rFonts w:ascii="Times New Roman"/>
          <w:b/>
          <w:sz w:val="24"/>
        </w:rPr>
        <w:t>the</w:t>
      </w:r>
      <w:r>
        <w:rPr>
          <w:rFonts w:ascii="Times New Roman"/>
          <w:b/>
          <w:spacing w:val="-2"/>
          <w:sz w:val="24"/>
        </w:rPr>
        <w:t> </w:t>
      </w:r>
      <w:r>
        <w:rPr>
          <w:rFonts w:ascii="Times New Roman"/>
          <w:b/>
          <w:sz w:val="24"/>
        </w:rPr>
        <w:t>Executive</w:t>
      </w:r>
      <w:r>
        <w:rPr>
          <w:rFonts w:ascii="Times New Roman"/>
          <w:b/>
          <w:spacing w:val="-4"/>
          <w:sz w:val="24"/>
        </w:rPr>
        <w:t> </w:t>
      </w:r>
      <w:r>
        <w:rPr>
          <w:rFonts w:ascii="Times New Roman"/>
          <w:b/>
          <w:sz w:val="24"/>
        </w:rPr>
        <w:t>Associate</w:t>
      </w:r>
      <w:r>
        <w:rPr>
          <w:rFonts w:ascii="Times New Roman"/>
          <w:b/>
          <w:spacing w:val="-1"/>
          <w:sz w:val="24"/>
        </w:rPr>
        <w:t> </w:t>
      </w:r>
      <w:r>
        <w:rPr>
          <w:rFonts w:ascii="Times New Roman"/>
          <w:b/>
          <w:sz w:val="24"/>
        </w:rPr>
        <w:t>Dean</w:t>
      </w:r>
      <w:r>
        <w:rPr>
          <w:rFonts w:ascii="Times New Roman"/>
          <w:b/>
          <w:spacing w:val="-1"/>
          <w:sz w:val="24"/>
        </w:rPr>
        <w:t> </w:t>
      </w:r>
      <w:r>
        <w:rPr>
          <w:rFonts w:ascii="Times New Roman"/>
          <w:b/>
          <w:sz w:val="24"/>
        </w:rPr>
        <w:t>of</w:t>
      </w:r>
      <w:r>
        <w:rPr>
          <w:rFonts w:ascii="Times New Roman"/>
          <w:b/>
          <w:spacing w:val="-1"/>
          <w:sz w:val="24"/>
        </w:rPr>
        <w:t> </w:t>
      </w:r>
      <w:r>
        <w:rPr>
          <w:rFonts w:ascii="Times New Roman"/>
          <w:b/>
          <w:sz w:val="24"/>
        </w:rPr>
        <w:t>the</w:t>
      </w:r>
      <w:r>
        <w:rPr>
          <w:rFonts w:ascii="Times New Roman"/>
          <w:b/>
          <w:spacing w:val="-1"/>
          <w:sz w:val="24"/>
        </w:rPr>
        <w:t> </w:t>
      </w:r>
      <w:r>
        <w:rPr>
          <w:rFonts w:ascii="Times New Roman"/>
          <w:b/>
          <w:sz w:val="24"/>
        </w:rPr>
        <w:t>School</w:t>
      </w:r>
      <w:r>
        <w:rPr>
          <w:rFonts w:ascii="Times New Roman"/>
          <w:b/>
          <w:spacing w:val="-2"/>
          <w:sz w:val="24"/>
        </w:rPr>
        <w:t> </w:t>
      </w:r>
      <w:r>
        <w:rPr>
          <w:rFonts w:ascii="Times New Roman"/>
          <w:b/>
          <w:sz w:val="24"/>
        </w:rPr>
        <w:t>of Education</w:t>
      </w:r>
      <w:r>
        <w:rPr>
          <w:rFonts w:ascii="Times New Roman"/>
          <w:b/>
          <w:spacing w:val="-2"/>
          <w:sz w:val="24"/>
        </w:rPr>
        <w:t> </w:t>
      </w:r>
      <w:r>
        <w:rPr>
          <w:rFonts w:ascii="Times New Roman"/>
          <w:b/>
          <w:sz w:val="24"/>
        </w:rPr>
        <w:t>by</w:t>
      </w:r>
      <w:r>
        <w:rPr>
          <w:rFonts w:ascii="Times New Roman"/>
          <w:b/>
          <w:spacing w:val="-1"/>
          <w:sz w:val="24"/>
        </w:rPr>
        <w:t> </w:t>
      </w:r>
      <w:r>
        <w:rPr>
          <w:rFonts w:ascii="Times New Roman"/>
          <w:b/>
          <w:sz w:val="24"/>
        </w:rPr>
        <w:t>September</w:t>
      </w:r>
      <w:r>
        <w:rPr>
          <w:rFonts w:ascii="Times New Roman"/>
          <w:b/>
          <w:spacing w:val="-2"/>
          <w:sz w:val="24"/>
        </w:rPr>
        <w:t> </w:t>
      </w:r>
      <w:r>
        <w:rPr>
          <w:rFonts w:ascii="Times New Roman"/>
          <w:b/>
          <w:spacing w:val="-5"/>
          <w:sz w:val="24"/>
        </w:rPr>
        <w:t>15;</w:t>
      </w:r>
    </w:p>
    <w:p>
      <w:pPr>
        <w:pStyle w:val="ListParagraph"/>
        <w:numPr>
          <w:ilvl w:val="0"/>
          <w:numId w:val="1"/>
        </w:numPr>
        <w:tabs>
          <w:tab w:pos="440" w:val="left" w:leader="none"/>
        </w:tabs>
        <w:spacing w:line="240" w:lineRule="auto" w:before="0" w:after="0"/>
        <w:ind w:left="440" w:right="0" w:hanging="320"/>
        <w:jc w:val="left"/>
        <w:rPr>
          <w:b/>
          <w:sz w:val="24"/>
        </w:rPr>
      </w:pPr>
      <w:r>
        <w:rPr>
          <w:b/>
          <w:sz w:val="24"/>
        </w:rPr>
        <w:t>the</w:t>
      </w:r>
      <w:r>
        <w:rPr>
          <w:b/>
          <w:spacing w:val="-5"/>
          <w:sz w:val="24"/>
        </w:rPr>
        <w:t> </w:t>
      </w:r>
      <w:r>
        <w:rPr>
          <w:b/>
          <w:sz w:val="24"/>
        </w:rPr>
        <w:t>School Committee</w:t>
      </w:r>
      <w:r>
        <w:rPr>
          <w:b/>
          <w:spacing w:val="-2"/>
          <w:sz w:val="24"/>
        </w:rPr>
        <w:t> </w:t>
      </w:r>
      <w:r>
        <w:rPr>
          <w:b/>
          <w:sz w:val="24"/>
        </w:rPr>
        <w:t>vote</w:t>
      </w:r>
      <w:r>
        <w:rPr>
          <w:b/>
          <w:spacing w:val="-3"/>
          <w:sz w:val="24"/>
        </w:rPr>
        <w:t> </w:t>
      </w:r>
      <w:r>
        <w:rPr>
          <w:b/>
          <w:sz w:val="24"/>
        </w:rPr>
        <w:t>goes to the</w:t>
      </w:r>
      <w:r>
        <w:rPr>
          <w:b/>
          <w:spacing w:val="-2"/>
          <w:sz w:val="24"/>
        </w:rPr>
        <w:t> </w:t>
      </w:r>
      <w:r>
        <w:rPr>
          <w:b/>
          <w:sz w:val="24"/>
        </w:rPr>
        <w:t>Dean of the</w:t>
      </w:r>
      <w:r>
        <w:rPr>
          <w:b/>
          <w:spacing w:val="-1"/>
          <w:sz w:val="24"/>
        </w:rPr>
        <w:t> </w:t>
      </w:r>
      <w:r>
        <w:rPr>
          <w:b/>
          <w:sz w:val="24"/>
        </w:rPr>
        <w:t>School of</w:t>
      </w:r>
      <w:r>
        <w:rPr>
          <w:b/>
          <w:spacing w:val="-2"/>
          <w:sz w:val="24"/>
        </w:rPr>
        <w:t> </w:t>
      </w:r>
      <w:r>
        <w:rPr>
          <w:b/>
          <w:sz w:val="24"/>
        </w:rPr>
        <w:t>Education</w:t>
      </w:r>
      <w:r>
        <w:rPr>
          <w:b/>
          <w:spacing w:val="-3"/>
          <w:sz w:val="24"/>
        </w:rPr>
        <w:t> </w:t>
      </w:r>
      <w:r>
        <w:rPr>
          <w:b/>
          <w:sz w:val="24"/>
        </w:rPr>
        <w:t>by October</w:t>
      </w:r>
      <w:r>
        <w:rPr>
          <w:b/>
          <w:spacing w:val="-18"/>
          <w:sz w:val="24"/>
        </w:rPr>
        <w:t> </w:t>
      </w:r>
      <w:r>
        <w:rPr>
          <w:b/>
          <w:spacing w:val="-5"/>
          <w:sz w:val="24"/>
        </w:rPr>
        <w:t>15,</w:t>
      </w:r>
    </w:p>
    <w:p>
      <w:pPr>
        <w:pStyle w:val="ListParagraph"/>
        <w:numPr>
          <w:ilvl w:val="0"/>
          <w:numId w:val="1"/>
        </w:numPr>
        <w:tabs>
          <w:tab w:pos="470" w:val="left" w:leader="none"/>
        </w:tabs>
        <w:spacing w:line="240" w:lineRule="auto" w:before="0" w:after="0"/>
        <w:ind w:left="120" w:right="276" w:firstLine="0"/>
        <w:jc w:val="left"/>
        <w:rPr>
          <w:b/>
          <w:sz w:val="24"/>
        </w:rPr>
      </w:pPr>
      <w:r>
        <w:rPr>
          <w:b/>
          <w:sz w:val="24"/>
        </w:rPr>
        <w:t>a final recommendation by the dean of the School in consultation with the Promotion, Tenure, and Contracts Committee will be sent to the Vice Provost’s office</w:t>
      </w:r>
      <w:r>
        <w:rPr>
          <w:b/>
          <w:spacing w:val="-1"/>
          <w:sz w:val="24"/>
        </w:rPr>
        <w:t> </w:t>
      </w:r>
      <w:r>
        <w:rPr>
          <w:b/>
          <w:sz w:val="24"/>
        </w:rPr>
        <w:t>by January 10. The</w:t>
      </w:r>
      <w:r>
        <w:rPr>
          <w:b/>
          <w:spacing w:val="-4"/>
          <w:sz w:val="24"/>
        </w:rPr>
        <w:t> </w:t>
      </w:r>
      <w:r>
        <w:rPr>
          <w:b/>
          <w:sz w:val="24"/>
        </w:rPr>
        <w:t>Dean</w:t>
      </w:r>
      <w:r>
        <w:rPr>
          <w:b/>
          <w:spacing w:val="-3"/>
          <w:sz w:val="24"/>
        </w:rPr>
        <w:t> </w:t>
      </w:r>
      <w:r>
        <w:rPr>
          <w:b/>
          <w:sz w:val="24"/>
        </w:rPr>
        <w:t>will</w:t>
      </w:r>
      <w:r>
        <w:rPr>
          <w:b/>
          <w:spacing w:val="-3"/>
          <w:sz w:val="24"/>
        </w:rPr>
        <w:t> </w:t>
      </w:r>
      <w:r>
        <w:rPr>
          <w:b/>
          <w:sz w:val="24"/>
        </w:rPr>
        <w:t>communicate</w:t>
      </w:r>
      <w:r>
        <w:rPr>
          <w:b/>
          <w:spacing w:val="-4"/>
          <w:sz w:val="24"/>
        </w:rPr>
        <w:t> </w:t>
      </w:r>
      <w:r>
        <w:rPr>
          <w:b/>
          <w:sz w:val="24"/>
        </w:rPr>
        <w:t>the</w:t>
      </w:r>
      <w:r>
        <w:rPr>
          <w:b/>
          <w:spacing w:val="-3"/>
          <w:sz w:val="24"/>
        </w:rPr>
        <w:t> </w:t>
      </w:r>
      <w:r>
        <w:rPr>
          <w:b/>
          <w:sz w:val="24"/>
        </w:rPr>
        <w:t>final</w:t>
      </w:r>
      <w:r>
        <w:rPr>
          <w:b/>
          <w:spacing w:val="-3"/>
          <w:sz w:val="24"/>
        </w:rPr>
        <w:t> </w:t>
      </w:r>
      <w:r>
        <w:rPr>
          <w:b/>
          <w:sz w:val="24"/>
        </w:rPr>
        <w:t>recommendation</w:t>
      </w:r>
      <w:r>
        <w:rPr>
          <w:b/>
          <w:spacing w:val="-3"/>
          <w:sz w:val="24"/>
        </w:rPr>
        <w:t> </w:t>
      </w:r>
      <w:r>
        <w:rPr>
          <w:b/>
          <w:sz w:val="24"/>
        </w:rPr>
        <w:t>to</w:t>
      </w:r>
      <w:r>
        <w:rPr>
          <w:b/>
          <w:spacing w:val="-3"/>
          <w:sz w:val="24"/>
        </w:rPr>
        <w:t> </w:t>
      </w:r>
      <w:r>
        <w:rPr>
          <w:b/>
          <w:sz w:val="24"/>
        </w:rPr>
        <w:t>the</w:t>
      </w:r>
      <w:r>
        <w:rPr>
          <w:b/>
          <w:spacing w:val="-4"/>
          <w:sz w:val="24"/>
        </w:rPr>
        <w:t> </w:t>
      </w:r>
      <w:r>
        <w:rPr>
          <w:b/>
          <w:sz w:val="24"/>
        </w:rPr>
        <w:t>academic</w:t>
      </w:r>
      <w:r>
        <w:rPr>
          <w:b/>
          <w:spacing w:val="-2"/>
          <w:sz w:val="24"/>
        </w:rPr>
        <w:t> </w:t>
      </w:r>
      <w:r>
        <w:rPr>
          <w:b/>
          <w:sz w:val="24"/>
        </w:rPr>
        <w:t>specialists</w:t>
      </w:r>
      <w:r>
        <w:rPr>
          <w:b/>
          <w:spacing w:val="-3"/>
          <w:sz w:val="24"/>
        </w:rPr>
        <w:t> </w:t>
      </w:r>
      <w:r>
        <w:rPr>
          <w:b/>
          <w:sz w:val="24"/>
        </w:rPr>
        <w:t>no</w:t>
      </w:r>
      <w:r>
        <w:rPr>
          <w:b/>
          <w:spacing w:val="-3"/>
          <w:sz w:val="24"/>
        </w:rPr>
        <w:t> </w:t>
      </w:r>
      <w:r>
        <w:rPr>
          <w:b/>
          <w:sz w:val="24"/>
        </w:rPr>
        <w:t>later than March 15. The academic specialist will be informed of the recommendation of the case at each level. This decision may be appealed through the procedures available in the University to tenured and tenure-probationary faculty.</w:t>
      </w:r>
    </w:p>
    <w:sectPr>
      <w:pgSz w:w="12240" w:h="15840"/>
      <w:pgMar w:header="763" w:footer="0" w:top="1340" w:bottom="280" w:left="132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59168">
              <wp:simplePos x="0" y="0"/>
              <wp:positionH relativeFrom="page">
                <wp:posOffset>6528054</wp:posOffset>
              </wp:positionH>
              <wp:positionV relativeFrom="page">
                <wp:posOffset>471931</wp:posOffset>
              </wp:positionV>
              <wp:extent cx="42164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421640" cy="165735"/>
                      </a:xfrm>
                      <a:prstGeom prst="rect">
                        <a:avLst/>
                      </a:prstGeom>
                    </wps:spPr>
                    <wps:txbx>
                      <w:txbxContent>
                        <w:p>
                          <w:pPr>
                            <w:pStyle w:val="BodyText"/>
                            <w:spacing w:line="245" w:lineRule="exact"/>
                            <w:ind w:left="20"/>
                          </w:pPr>
                          <w:r>
                            <w:rPr>
                              <w:spacing w:val="-2"/>
                            </w:rPr>
                            <w:t>10.35R</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4.020020pt;margin-top:37.160pt;width:33.2pt;height:13.05pt;mso-position-horizontal-relative:page;mso-position-vertical-relative:page;z-index:-15757312" type="#_x0000_t202" id="docshape1" filled="false" stroked="false">
              <v:textbox inset="0,0,0,0">
                <w:txbxContent>
                  <w:p>
                    <w:pPr>
                      <w:pStyle w:val="BodyText"/>
                      <w:spacing w:line="245" w:lineRule="exact"/>
                      <w:ind w:left="20"/>
                    </w:pPr>
                    <w:r>
                      <w:rPr>
                        <w:spacing w:val="-2"/>
                      </w:rPr>
                      <w:t>10.35R</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lowerLetter"/>
      <w:lvlText w:val="(%1)"/>
      <w:lvlJc w:val="left"/>
      <w:pPr>
        <w:ind w:left="120" w:hanging="353"/>
        <w:jc w:val="left"/>
      </w:pPr>
      <w:rPr>
        <w:rFonts w:hint="default" w:ascii="Times New Roman" w:hAnsi="Times New Roman" w:eastAsia="Times New Roman" w:cs="Times New Roman"/>
        <w:b/>
        <w:bCs/>
        <w:i w:val="0"/>
        <w:iCs w:val="0"/>
        <w:spacing w:val="0"/>
        <w:w w:val="97"/>
        <w:sz w:val="24"/>
        <w:szCs w:val="24"/>
        <w:lang w:val="en-US" w:eastAsia="en-US" w:bidi="ar-SA"/>
      </w:rPr>
    </w:lvl>
    <w:lvl w:ilvl="1">
      <w:start w:val="0"/>
      <w:numFmt w:val="bullet"/>
      <w:lvlText w:val="•"/>
      <w:lvlJc w:val="left"/>
      <w:pPr>
        <w:ind w:left="1064" w:hanging="353"/>
      </w:pPr>
      <w:rPr>
        <w:rFonts w:hint="default"/>
        <w:lang w:val="en-US" w:eastAsia="en-US" w:bidi="ar-SA"/>
      </w:rPr>
    </w:lvl>
    <w:lvl w:ilvl="2">
      <w:start w:val="0"/>
      <w:numFmt w:val="bullet"/>
      <w:lvlText w:val="•"/>
      <w:lvlJc w:val="left"/>
      <w:pPr>
        <w:ind w:left="2008" w:hanging="353"/>
      </w:pPr>
      <w:rPr>
        <w:rFonts w:hint="default"/>
        <w:lang w:val="en-US" w:eastAsia="en-US" w:bidi="ar-SA"/>
      </w:rPr>
    </w:lvl>
    <w:lvl w:ilvl="3">
      <w:start w:val="0"/>
      <w:numFmt w:val="bullet"/>
      <w:lvlText w:val="•"/>
      <w:lvlJc w:val="left"/>
      <w:pPr>
        <w:ind w:left="2952" w:hanging="353"/>
      </w:pPr>
      <w:rPr>
        <w:rFonts w:hint="default"/>
        <w:lang w:val="en-US" w:eastAsia="en-US" w:bidi="ar-SA"/>
      </w:rPr>
    </w:lvl>
    <w:lvl w:ilvl="4">
      <w:start w:val="0"/>
      <w:numFmt w:val="bullet"/>
      <w:lvlText w:val="•"/>
      <w:lvlJc w:val="left"/>
      <w:pPr>
        <w:ind w:left="3896" w:hanging="353"/>
      </w:pPr>
      <w:rPr>
        <w:rFonts w:hint="default"/>
        <w:lang w:val="en-US" w:eastAsia="en-US" w:bidi="ar-SA"/>
      </w:rPr>
    </w:lvl>
    <w:lvl w:ilvl="5">
      <w:start w:val="0"/>
      <w:numFmt w:val="bullet"/>
      <w:lvlText w:val="•"/>
      <w:lvlJc w:val="left"/>
      <w:pPr>
        <w:ind w:left="4840" w:hanging="353"/>
      </w:pPr>
      <w:rPr>
        <w:rFonts w:hint="default"/>
        <w:lang w:val="en-US" w:eastAsia="en-US" w:bidi="ar-SA"/>
      </w:rPr>
    </w:lvl>
    <w:lvl w:ilvl="6">
      <w:start w:val="0"/>
      <w:numFmt w:val="bullet"/>
      <w:lvlText w:val="•"/>
      <w:lvlJc w:val="left"/>
      <w:pPr>
        <w:ind w:left="5784" w:hanging="353"/>
      </w:pPr>
      <w:rPr>
        <w:rFonts w:hint="default"/>
        <w:lang w:val="en-US" w:eastAsia="en-US" w:bidi="ar-SA"/>
      </w:rPr>
    </w:lvl>
    <w:lvl w:ilvl="7">
      <w:start w:val="0"/>
      <w:numFmt w:val="bullet"/>
      <w:lvlText w:val="•"/>
      <w:lvlJc w:val="left"/>
      <w:pPr>
        <w:ind w:left="6728" w:hanging="353"/>
      </w:pPr>
      <w:rPr>
        <w:rFonts w:hint="default"/>
        <w:lang w:val="en-US" w:eastAsia="en-US" w:bidi="ar-SA"/>
      </w:rPr>
    </w:lvl>
    <w:lvl w:ilvl="8">
      <w:start w:val="0"/>
      <w:numFmt w:val="bullet"/>
      <w:lvlText w:val="•"/>
      <w:lvlJc w:val="left"/>
      <w:pPr>
        <w:ind w:left="7672" w:hanging="353"/>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2306"/>
      <w:outlineLvl w:val="1"/>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ind w:left="1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mkaho</dc:creator>
  <dcterms:created xsi:type="dcterms:W3CDTF">2023-11-20T14:48:39Z</dcterms:created>
  <dcterms:modified xsi:type="dcterms:W3CDTF">2023-11-20T14:48:39Z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2018-05-23T00:00:00Z</vt:filetime>
  </property>
  <property fmtid="{D5CDD505-2E9C-101B-9397-08002B2CF9AE}" pid="3" name="Creator">
    <vt:lpwstr>Microsoft® Word 2016</vt:lpwstr>
  </property>
  <property fmtid="{D5CDD505-2E9C-101B-9397-08002B2CF9AE}" pid="4" name="LastSaved">
    <vt:filetime>2023-11-20T00:00:00Z</vt:filetime>
  </property>
  <property fmtid="{D5CDD505-2E9C-101B-9397-08002B2CF9AE}" pid="5" name="Producer">
    <vt:lpwstr>Microsoft® Word 2016</vt:lpwstr>
  </property>
</Properties>
</file>