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8"/>
        <w:ind w:right="221"/>
        <w:jc w:val="right"/>
        <w:rPr>
          <w:rFonts w:ascii="Courier New"/>
        </w:rPr>
      </w:pPr>
      <w:r>
        <w:rPr>
          <w:rFonts w:ascii="Courier New"/>
          <w:spacing w:val="-2"/>
        </w:rPr>
        <w:t>12.25</w:t>
      </w:r>
    </w:p>
    <w:p>
      <w:pPr>
        <w:pStyle w:val="BodyText"/>
        <w:rPr>
          <w:rFonts w:ascii="Courier New"/>
          <w:sz w:val="20"/>
        </w:rPr>
      </w:pPr>
    </w:p>
    <w:p>
      <w:pPr>
        <w:pStyle w:val="BodyText"/>
        <w:spacing w:before="9"/>
        <w:rPr>
          <w:rFonts w:ascii="Courier New"/>
          <w:sz w:val="22"/>
        </w:rPr>
      </w:pPr>
    </w:p>
    <w:p>
      <w:pPr>
        <w:pStyle w:val="Title"/>
        <w:spacing w:line="295" w:lineRule="auto" w:before="92"/>
        <w:ind w:left="1515"/>
      </w:pPr>
      <w:r>
        <w:rPr/>
        <w:t>Minimum</w:t>
      </w:r>
      <w:r>
        <w:rPr>
          <w:spacing w:val="-8"/>
        </w:rPr>
        <w:t> </w:t>
      </w:r>
      <w:r>
        <w:rPr/>
        <w:t>GRE</w:t>
      </w:r>
      <w:r>
        <w:rPr>
          <w:spacing w:val="-7"/>
        </w:rPr>
        <w:t> </w:t>
      </w:r>
      <w:r>
        <w:rPr/>
        <w:t>Scores</w:t>
      </w:r>
      <w:r>
        <w:rPr>
          <w:spacing w:val="-7"/>
        </w:rPr>
        <w:t> </w:t>
      </w:r>
      <w:r>
        <w:rPr/>
        <w:t>for</w:t>
      </w:r>
      <w:r>
        <w:rPr>
          <w:spacing w:val="-5"/>
        </w:rPr>
        <w:t> </w:t>
      </w:r>
      <w:r>
        <w:rPr/>
        <w:t>Graduate</w:t>
      </w:r>
      <w:r>
        <w:rPr>
          <w:spacing w:val="-9"/>
        </w:rPr>
        <w:t> </w:t>
      </w:r>
      <w:r>
        <w:rPr/>
        <w:t>Program</w:t>
      </w:r>
      <w:r>
        <w:rPr>
          <w:spacing w:val="-5"/>
        </w:rPr>
        <w:t> </w:t>
      </w:r>
      <w:r>
        <w:rPr/>
        <w:t>Applications Indiana University Bloomington</w:t>
      </w:r>
    </w:p>
    <w:p>
      <w:pPr>
        <w:pStyle w:val="Title"/>
        <w:spacing w:line="274" w:lineRule="exact"/>
      </w:pPr>
      <w:r>
        <w:rPr/>
        <w:t>School of</w:t>
      </w:r>
      <w:r>
        <w:rPr>
          <w:spacing w:val="-1"/>
        </w:rPr>
        <w:t> </w:t>
      </w:r>
      <w:r>
        <w:rPr>
          <w:spacing w:val="-2"/>
        </w:rPr>
        <w:t>Education</w:t>
      </w:r>
    </w:p>
    <w:p>
      <w:pPr>
        <w:pStyle w:val="BodyText"/>
        <w:rPr>
          <w:b/>
          <w:sz w:val="26"/>
        </w:rPr>
      </w:pPr>
    </w:p>
    <w:p>
      <w:pPr>
        <w:pStyle w:val="BodyText"/>
        <w:rPr>
          <w:b/>
          <w:sz w:val="23"/>
        </w:rPr>
      </w:pPr>
    </w:p>
    <w:p>
      <w:pPr>
        <w:pStyle w:val="BodyText"/>
        <w:spacing w:line="242" w:lineRule="auto"/>
        <w:ind w:left="120" w:right="182"/>
      </w:pPr>
      <w:r>
        <w:rPr/>
        <w:t>In August</w:t>
      </w:r>
      <w:r>
        <w:rPr>
          <w:spacing w:val="-2"/>
        </w:rPr>
        <w:t> </w:t>
      </w:r>
      <w:r>
        <w:rPr/>
        <w:t>2011</w:t>
      </w:r>
      <w:r>
        <w:rPr>
          <w:spacing w:val="-2"/>
        </w:rPr>
        <w:t> </w:t>
      </w:r>
      <w:r>
        <w:rPr/>
        <w:t>the</w:t>
      </w:r>
      <w:r>
        <w:rPr>
          <w:spacing w:val="-2"/>
        </w:rPr>
        <w:t> </w:t>
      </w:r>
      <w:r>
        <w:rPr/>
        <w:t>Educational</w:t>
      </w:r>
      <w:r>
        <w:rPr>
          <w:spacing w:val="-3"/>
        </w:rPr>
        <w:t> </w:t>
      </w:r>
      <w:r>
        <w:rPr/>
        <w:t>Testing</w:t>
      </w:r>
      <w:r>
        <w:rPr>
          <w:spacing w:val="-2"/>
        </w:rPr>
        <w:t> </w:t>
      </w:r>
      <w:r>
        <w:rPr/>
        <w:t>Service revised the</w:t>
      </w:r>
      <w:r>
        <w:rPr>
          <w:spacing w:val="-2"/>
        </w:rPr>
        <w:t> </w:t>
      </w:r>
      <w:r>
        <w:rPr/>
        <w:t>GRE extensively, changing two</w:t>
      </w:r>
      <w:r>
        <w:rPr>
          <w:spacing w:val="-2"/>
        </w:rPr>
        <w:t> </w:t>
      </w:r>
      <w:r>
        <w:rPr/>
        <w:t>of</w:t>
      </w:r>
      <w:r>
        <w:rPr>
          <w:spacing w:val="-2"/>
        </w:rPr>
        <w:t> </w:t>
      </w:r>
      <w:r>
        <w:rPr/>
        <w:t>the</w:t>
      </w:r>
      <w:r>
        <w:rPr>
          <w:spacing w:val="-4"/>
        </w:rPr>
        <w:t> </w:t>
      </w:r>
      <w:r>
        <w:rPr/>
        <w:t>three</w:t>
      </w:r>
      <w:r>
        <w:rPr>
          <w:spacing w:val="-2"/>
        </w:rPr>
        <w:t> </w:t>
      </w:r>
      <w:r>
        <w:rPr/>
        <w:t>scales</w:t>
      </w:r>
      <w:r>
        <w:rPr>
          <w:spacing w:val="-2"/>
        </w:rPr>
        <w:t> </w:t>
      </w:r>
      <w:r>
        <w:rPr/>
        <w:t>used</w:t>
      </w:r>
      <w:r>
        <w:rPr>
          <w:spacing w:val="-4"/>
        </w:rPr>
        <w:t> </w:t>
      </w:r>
      <w:r>
        <w:rPr/>
        <w:t>to</w:t>
      </w:r>
      <w:r>
        <w:rPr>
          <w:spacing w:val="-4"/>
        </w:rPr>
        <w:t> </w:t>
      </w:r>
      <w:r>
        <w:rPr/>
        <w:t>measure</w:t>
      </w:r>
      <w:r>
        <w:rPr>
          <w:spacing w:val="-4"/>
        </w:rPr>
        <w:t> </w:t>
      </w:r>
      <w:r>
        <w:rPr/>
        <w:t>achievement</w:t>
      </w:r>
      <w:r>
        <w:rPr>
          <w:spacing w:val="-4"/>
        </w:rPr>
        <w:t> </w:t>
      </w:r>
      <w:r>
        <w:rPr/>
        <w:t>on</w:t>
      </w:r>
      <w:r>
        <w:rPr>
          <w:spacing w:val="-4"/>
        </w:rPr>
        <w:t> </w:t>
      </w:r>
      <w:r>
        <w:rPr/>
        <w:t>the</w:t>
      </w:r>
      <w:r>
        <w:rPr>
          <w:spacing w:val="-2"/>
        </w:rPr>
        <w:t> </w:t>
      </w:r>
      <w:r>
        <w:rPr/>
        <w:t>exam.</w:t>
      </w:r>
      <w:r>
        <w:rPr>
          <w:spacing w:val="-6"/>
        </w:rPr>
        <w:t> </w:t>
      </w:r>
      <w:r>
        <w:rPr/>
        <w:t>The</w:t>
      </w:r>
      <w:r>
        <w:rPr>
          <w:spacing w:val="-2"/>
        </w:rPr>
        <w:t> </w:t>
      </w:r>
      <w:r>
        <w:rPr/>
        <w:t>new</w:t>
      </w:r>
      <w:r>
        <w:rPr>
          <w:spacing w:val="-5"/>
        </w:rPr>
        <w:t> </w:t>
      </w:r>
      <w:r>
        <w:rPr/>
        <w:t>scales</w:t>
      </w:r>
      <w:r>
        <w:rPr>
          <w:spacing w:val="-2"/>
        </w:rPr>
        <w:t> </w:t>
      </w:r>
      <w:r>
        <w:rPr/>
        <w:t>are promoted by ETS as being simpler for the purpose of discriminating between test- takers. They report scores from 130 - 170 in one-point increments for the Verbal Reasoning and Quantitative Reasoning segments of the exam. The Analytical Writing segment of the exam is scored as before. These changes necessitate changes in the minimum scores accepted for graduate programs that do require GRE scores from </w:t>
      </w:r>
      <w:r>
        <w:rPr>
          <w:spacing w:val="-2"/>
        </w:rPr>
        <w:t>applicants.</w:t>
      </w:r>
    </w:p>
    <w:p>
      <w:pPr>
        <w:pStyle w:val="BodyText"/>
        <w:spacing w:before="3"/>
      </w:pPr>
    </w:p>
    <w:p>
      <w:pPr>
        <w:pStyle w:val="BodyText"/>
        <w:spacing w:line="242" w:lineRule="auto"/>
        <w:ind w:left="120" w:right="182"/>
      </w:pPr>
      <w:r>
        <w:rPr/>
        <w:t>The Graduate Programs Committee took the current minimum combined scores (900 for MS and EdS applicants; 1100</w:t>
      </w:r>
      <w:r>
        <w:rPr>
          <w:spacing w:val="-6"/>
        </w:rPr>
        <w:t> </w:t>
      </w:r>
      <w:r>
        <w:rPr/>
        <w:t>for EdD and PhD programs) and assumed equal contributions to those</w:t>
      </w:r>
      <w:r>
        <w:rPr>
          <w:spacing w:val="-4"/>
        </w:rPr>
        <w:t> </w:t>
      </w:r>
      <w:r>
        <w:rPr/>
        <w:t>scores</w:t>
      </w:r>
      <w:r>
        <w:rPr>
          <w:spacing w:val="-2"/>
        </w:rPr>
        <w:t> </w:t>
      </w:r>
      <w:r>
        <w:rPr/>
        <w:t>from the verbal</w:t>
      </w:r>
      <w:r>
        <w:rPr>
          <w:spacing w:val="-3"/>
        </w:rPr>
        <w:t> </w:t>
      </w:r>
      <w:r>
        <w:rPr/>
        <w:t>and quantitative segments</w:t>
      </w:r>
      <w:r>
        <w:rPr>
          <w:spacing w:val="-2"/>
        </w:rPr>
        <w:t> </w:t>
      </w:r>
      <w:r>
        <w:rPr/>
        <w:t>of the</w:t>
      </w:r>
      <w:r>
        <w:rPr>
          <w:spacing w:val="-2"/>
        </w:rPr>
        <w:t> </w:t>
      </w:r>
      <w:r>
        <w:rPr/>
        <w:t>exam. (It is,</w:t>
      </w:r>
      <w:r>
        <w:rPr>
          <w:spacing w:val="-3"/>
        </w:rPr>
        <w:t> </w:t>
      </w:r>
      <w:r>
        <w:rPr/>
        <w:t>of</w:t>
      </w:r>
      <w:r>
        <w:rPr>
          <w:spacing w:val="-1"/>
        </w:rPr>
        <w:t> </w:t>
      </w:r>
      <w:r>
        <w:rPr/>
        <w:t>course,</w:t>
      </w:r>
      <w:r>
        <w:rPr>
          <w:spacing w:val="-5"/>
        </w:rPr>
        <w:t> </w:t>
      </w:r>
      <w:r>
        <w:rPr/>
        <w:t>possible</w:t>
      </w:r>
      <w:r>
        <w:rPr>
          <w:spacing w:val="-5"/>
        </w:rPr>
        <w:t> </w:t>
      </w:r>
      <w:r>
        <w:rPr/>
        <w:t>to</w:t>
      </w:r>
      <w:r>
        <w:rPr>
          <w:spacing w:val="-3"/>
        </w:rPr>
        <w:t> </w:t>
      </w:r>
      <w:r>
        <w:rPr/>
        <w:t>achieve</w:t>
      </w:r>
      <w:r>
        <w:rPr>
          <w:spacing w:val="-3"/>
        </w:rPr>
        <w:t> </w:t>
      </w:r>
      <w:r>
        <w:rPr/>
        <w:t>the</w:t>
      </w:r>
      <w:r>
        <w:rPr>
          <w:spacing w:val="-5"/>
        </w:rPr>
        <w:t> </w:t>
      </w:r>
      <w:r>
        <w:rPr/>
        <w:t>minimum</w:t>
      </w:r>
      <w:r>
        <w:rPr>
          <w:spacing w:val="-2"/>
        </w:rPr>
        <w:t> </w:t>
      </w:r>
      <w:r>
        <w:rPr/>
        <w:t>combined</w:t>
      </w:r>
      <w:r>
        <w:rPr>
          <w:spacing w:val="-3"/>
        </w:rPr>
        <w:t> </w:t>
      </w:r>
      <w:r>
        <w:rPr/>
        <w:t>score</w:t>
      </w:r>
      <w:r>
        <w:rPr>
          <w:spacing w:val="-3"/>
        </w:rPr>
        <w:t> </w:t>
      </w:r>
      <w:r>
        <w:rPr/>
        <w:t>with</w:t>
      </w:r>
      <w:r>
        <w:rPr>
          <w:spacing w:val="-3"/>
        </w:rPr>
        <w:t> </w:t>
      </w:r>
      <w:r>
        <w:rPr/>
        <w:t>many</w:t>
      </w:r>
      <w:r>
        <w:rPr>
          <w:spacing w:val="-6"/>
        </w:rPr>
        <w:t> </w:t>
      </w:r>
      <w:r>
        <w:rPr/>
        <w:t>combinations of individual segment scores.) We calculated and accepted the following minimum combined scores:</w:t>
      </w:r>
    </w:p>
    <w:p>
      <w:pPr>
        <w:pStyle w:val="BodyText"/>
        <w:spacing w:before="2" w:after="1"/>
      </w:pPr>
    </w:p>
    <w:tbl>
      <w:tblPr>
        <w:tblW w:w="0" w:type="auto"/>
        <w:jc w:val="left"/>
        <w:tblInd w:w="130" w:type="dxa"/>
        <w:tblBorders>
          <w:top w:val="single" w:sz="8" w:space="0" w:color="B0B1B0"/>
          <w:left w:val="single" w:sz="8" w:space="0" w:color="B0B1B0"/>
          <w:bottom w:val="single" w:sz="8" w:space="0" w:color="B0B1B0"/>
          <w:right w:val="single" w:sz="8" w:space="0" w:color="B0B1B0"/>
          <w:insideH w:val="single" w:sz="8" w:space="0" w:color="B0B1B0"/>
          <w:insideV w:val="single" w:sz="8" w:space="0" w:color="B0B1B0"/>
        </w:tblBorders>
        <w:tblLayout w:type="fixed"/>
        <w:tblCellMar>
          <w:top w:w="0" w:type="dxa"/>
          <w:left w:w="0" w:type="dxa"/>
          <w:bottom w:w="0" w:type="dxa"/>
          <w:right w:w="0" w:type="dxa"/>
        </w:tblCellMar>
        <w:tblLook w:val="01E0"/>
      </w:tblPr>
      <w:tblGrid>
        <w:gridCol w:w="2340"/>
        <w:gridCol w:w="2341"/>
        <w:gridCol w:w="2341"/>
        <w:gridCol w:w="2341"/>
      </w:tblGrid>
      <w:tr>
        <w:trPr>
          <w:trHeight w:val="561" w:hRule="atLeast"/>
        </w:trPr>
        <w:tc>
          <w:tcPr>
            <w:tcW w:w="4681" w:type="dxa"/>
            <w:gridSpan w:val="2"/>
            <w:tcBorders>
              <w:top w:val="nil"/>
              <w:bottom w:val="nil"/>
            </w:tcBorders>
            <w:shd w:val="clear" w:color="auto" w:fill="B0B0B0"/>
          </w:tcPr>
          <w:p>
            <w:pPr>
              <w:pStyle w:val="TableParagraph"/>
              <w:spacing w:before="110"/>
              <w:ind w:left="88"/>
              <w:rPr>
                <w:sz w:val="30"/>
              </w:rPr>
            </w:pPr>
            <w:r>
              <w:rPr>
                <w:sz w:val="30"/>
              </w:rPr>
              <w:t>MS</w:t>
            </w:r>
            <w:r>
              <w:rPr>
                <w:spacing w:val="-2"/>
                <w:sz w:val="30"/>
              </w:rPr>
              <w:t> </w:t>
            </w:r>
            <w:r>
              <w:rPr>
                <w:sz w:val="30"/>
              </w:rPr>
              <w:t>and</w:t>
            </w:r>
            <w:r>
              <w:rPr>
                <w:spacing w:val="1"/>
                <w:sz w:val="30"/>
              </w:rPr>
              <w:t> </w:t>
            </w:r>
            <w:r>
              <w:rPr>
                <w:spacing w:val="-5"/>
                <w:sz w:val="30"/>
              </w:rPr>
              <w:t>EdS</w:t>
            </w:r>
          </w:p>
        </w:tc>
        <w:tc>
          <w:tcPr>
            <w:tcW w:w="4682" w:type="dxa"/>
            <w:gridSpan w:val="2"/>
            <w:tcBorders>
              <w:top w:val="nil"/>
              <w:bottom w:val="nil"/>
            </w:tcBorders>
            <w:shd w:val="clear" w:color="auto" w:fill="B0B0B0"/>
          </w:tcPr>
          <w:p>
            <w:pPr>
              <w:pStyle w:val="TableParagraph"/>
              <w:spacing w:before="110"/>
              <w:rPr>
                <w:sz w:val="30"/>
              </w:rPr>
            </w:pPr>
            <w:r>
              <w:rPr>
                <w:sz w:val="30"/>
              </w:rPr>
              <w:t>EdD</w:t>
            </w:r>
            <w:r>
              <w:rPr>
                <w:spacing w:val="-3"/>
                <w:sz w:val="30"/>
              </w:rPr>
              <w:t> </w:t>
            </w:r>
            <w:r>
              <w:rPr>
                <w:sz w:val="30"/>
              </w:rPr>
              <w:t>and</w:t>
            </w:r>
            <w:r>
              <w:rPr>
                <w:spacing w:val="-3"/>
                <w:sz w:val="30"/>
              </w:rPr>
              <w:t> </w:t>
            </w:r>
            <w:r>
              <w:rPr>
                <w:spacing w:val="-5"/>
                <w:sz w:val="30"/>
              </w:rPr>
              <w:t>PhD</w:t>
            </w:r>
          </w:p>
        </w:tc>
      </w:tr>
      <w:tr>
        <w:trPr>
          <w:trHeight w:val="518" w:hRule="atLeast"/>
        </w:trPr>
        <w:tc>
          <w:tcPr>
            <w:tcW w:w="2340" w:type="dxa"/>
            <w:tcBorders>
              <w:top w:val="nil"/>
            </w:tcBorders>
          </w:tcPr>
          <w:p>
            <w:pPr>
              <w:pStyle w:val="TableParagraph"/>
              <w:spacing w:before="88"/>
              <w:ind w:left="88"/>
              <w:rPr>
                <w:sz w:val="30"/>
              </w:rPr>
            </w:pPr>
            <w:r>
              <w:rPr>
                <w:spacing w:val="-5"/>
                <w:sz w:val="30"/>
              </w:rPr>
              <w:t>Old</w:t>
            </w:r>
          </w:p>
        </w:tc>
        <w:tc>
          <w:tcPr>
            <w:tcW w:w="2341" w:type="dxa"/>
            <w:tcBorders>
              <w:top w:val="nil"/>
            </w:tcBorders>
          </w:tcPr>
          <w:p>
            <w:pPr>
              <w:pStyle w:val="TableParagraph"/>
              <w:spacing w:before="88"/>
              <w:ind w:left="88"/>
              <w:rPr>
                <w:sz w:val="30"/>
              </w:rPr>
            </w:pPr>
            <w:r>
              <w:rPr>
                <w:spacing w:val="-5"/>
                <w:sz w:val="30"/>
              </w:rPr>
              <w:t>New</w:t>
            </w:r>
          </w:p>
        </w:tc>
        <w:tc>
          <w:tcPr>
            <w:tcW w:w="2341" w:type="dxa"/>
            <w:tcBorders>
              <w:top w:val="nil"/>
            </w:tcBorders>
          </w:tcPr>
          <w:p>
            <w:pPr>
              <w:pStyle w:val="TableParagraph"/>
              <w:spacing w:before="88"/>
              <w:rPr>
                <w:sz w:val="30"/>
              </w:rPr>
            </w:pPr>
            <w:r>
              <w:rPr>
                <w:spacing w:val="-5"/>
                <w:sz w:val="30"/>
              </w:rPr>
              <w:t>Old</w:t>
            </w:r>
          </w:p>
        </w:tc>
        <w:tc>
          <w:tcPr>
            <w:tcW w:w="2341" w:type="dxa"/>
            <w:tcBorders>
              <w:top w:val="nil"/>
            </w:tcBorders>
          </w:tcPr>
          <w:p>
            <w:pPr>
              <w:pStyle w:val="TableParagraph"/>
              <w:spacing w:before="88"/>
              <w:rPr>
                <w:sz w:val="30"/>
              </w:rPr>
            </w:pPr>
            <w:r>
              <w:rPr>
                <w:spacing w:val="-5"/>
                <w:sz w:val="30"/>
              </w:rPr>
              <w:t>New</w:t>
            </w:r>
          </w:p>
        </w:tc>
      </w:tr>
      <w:tr>
        <w:trPr>
          <w:trHeight w:val="520" w:hRule="atLeast"/>
        </w:trPr>
        <w:tc>
          <w:tcPr>
            <w:tcW w:w="2340" w:type="dxa"/>
          </w:tcPr>
          <w:p>
            <w:pPr>
              <w:pStyle w:val="TableParagraph"/>
              <w:ind w:left="88"/>
              <w:rPr>
                <w:sz w:val="30"/>
              </w:rPr>
            </w:pPr>
            <w:r>
              <w:rPr>
                <w:spacing w:val="-2"/>
                <w:sz w:val="30"/>
              </w:rPr>
              <w:t>Verbal=450</w:t>
            </w:r>
          </w:p>
        </w:tc>
        <w:tc>
          <w:tcPr>
            <w:tcW w:w="2341" w:type="dxa"/>
          </w:tcPr>
          <w:p>
            <w:pPr>
              <w:pStyle w:val="TableParagraph"/>
              <w:ind w:left="88"/>
              <w:rPr>
                <w:sz w:val="30"/>
              </w:rPr>
            </w:pPr>
            <w:r>
              <w:rPr>
                <w:spacing w:val="-2"/>
                <w:sz w:val="30"/>
              </w:rPr>
              <w:t>Verbal=150</w:t>
            </w:r>
          </w:p>
        </w:tc>
        <w:tc>
          <w:tcPr>
            <w:tcW w:w="2341" w:type="dxa"/>
          </w:tcPr>
          <w:p>
            <w:pPr>
              <w:pStyle w:val="TableParagraph"/>
              <w:rPr>
                <w:sz w:val="30"/>
              </w:rPr>
            </w:pPr>
            <w:r>
              <w:rPr>
                <w:spacing w:val="-2"/>
                <w:sz w:val="30"/>
              </w:rPr>
              <w:t>Verbal=550</w:t>
            </w:r>
          </w:p>
        </w:tc>
        <w:tc>
          <w:tcPr>
            <w:tcW w:w="2341" w:type="dxa"/>
          </w:tcPr>
          <w:p>
            <w:pPr>
              <w:pStyle w:val="TableParagraph"/>
              <w:rPr>
                <w:sz w:val="30"/>
              </w:rPr>
            </w:pPr>
            <w:r>
              <w:rPr>
                <w:spacing w:val="-2"/>
                <w:sz w:val="30"/>
              </w:rPr>
              <w:t>Verbal=156</w:t>
            </w:r>
          </w:p>
        </w:tc>
      </w:tr>
      <w:tr>
        <w:trPr>
          <w:trHeight w:val="520" w:hRule="atLeast"/>
        </w:trPr>
        <w:tc>
          <w:tcPr>
            <w:tcW w:w="2340" w:type="dxa"/>
          </w:tcPr>
          <w:p>
            <w:pPr>
              <w:pStyle w:val="TableParagraph"/>
              <w:ind w:left="88"/>
              <w:rPr>
                <w:sz w:val="30"/>
              </w:rPr>
            </w:pPr>
            <w:r>
              <w:rPr>
                <w:spacing w:val="-2"/>
                <w:sz w:val="30"/>
              </w:rPr>
              <w:t>Quant=450</w:t>
            </w:r>
          </w:p>
        </w:tc>
        <w:tc>
          <w:tcPr>
            <w:tcW w:w="2341" w:type="dxa"/>
          </w:tcPr>
          <w:p>
            <w:pPr>
              <w:pStyle w:val="TableParagraph"/>
              <w:ind w:left="88"/>
              <w:rPr>
                <w:sz w:val="30"/>
              </w:rPr>
            </w:pPr>
            <w:r>
              <w:rPr>
                <w:spacing w:val="-2"/>
                <w:sz w:val="30"/>
              </w:rPr>
              <w:t>Quant=141</w:t>
            </w:r>
          </w:p>
        </w:tc>
        <w:tc>
          <w:tcPr>
            <w:tcW w:w="2341" w:type="dxa"/>
          </w:tcPr>
          <w:p>
            <w:pPr>
              <w:pStyle w:val="TableParagraph"/>
              <w:rPr>
                <w:sz w:val="30"/>
              </w:rPr>
            </w:pPr>
            <w:r>
              <w:rPr>
                <w:spacing w:val="-2"/>
                <w:sz w:val="30"/>
              </w:rPr>
              <w:t>Quant=550</w:t>
            </w:r>
          </w:p>
        </w:tc>
        <w:tc>
          <w:tcPr>
            <w:tcW w:w="2341" w:type="dxa"/>
          </w:tcPr>
          <w:p>
            <w:pPr>
              <w:pStyle w:val="TableParagraph"/>
              <w:rPr>
                <w:sz w:val="30"/>
              </w:rPr>
            </w:pPr>
            <w:r>
              <w:rPr>
                <w:spacing w:val="-2"/>
                <w:sz w:val="30"/>
              </w:rPr>
              <w:t>Quant=146</w:t>
            </w:r>
          </w:p>
        </w:tc>
      </w:tr>
      <w:tr>
        <w:trPr>
          <w:trHeight w:val="522" w:hRule="atLeast"/>
        </w:trPr>
        <w:tc>
          <w:tcPr>
            <w:tcW w:w="2340" w:type="dxa"/>
          </w:tcPr>
          <w:p>
            <w:pPr>
              <w:pStyle w:val="TableParagraph"/>
              <w:ind w:left="88"/>
              <w:rPr>
                <w:sz w:val="30"/>
              </w:rPr>
            </w:pPr>
            <w:r>
              <w:rPr>
                <w:spacing w:val="-2"/>
                <w:sz w:val="30"/>
              </w:rPr>
              <w:t>Total=900</w:t>
            </w:r>
          </w:p>
        </w:tc>
        <w:tc>
          <w:tcPr>
            <w:tcW w:w="2341" w:type="dxa"/>
          </w:tcPr>
          <w:p>
            <w:pPr>
              <w:pStyle w:val="TableParagraph"/>
              <w:spacing w:before="88"/>
              <w:ind w:left="88"/>
              <w:rPr>
                <w:b/>
                <w:sz w:val="30"/>
              </w:rPr>
            </w:pPr>
            <w:r>
              <w:rPr>
                <w:b/>
                <w:spacing w:val="-2"/>
                <w:sz w:val="30"/>
              </w:rPr>
              <w:t>Total=291</w:t>
            </w:r>
          </w:p>
        </w:tc>
        <w:tc>
          <w:tcPr>
            <w:tcW w:w="2341" w:type="dxa"/>
          </w:tcPr>
          <w:p>
            <w:pPr>
              <w:pStyle w:val="TableParagraph"/>
              <w:rPr>
                <w:sz w:val="30"/>
              </w:rPr>
            </w:pPr>
            <w:r>
              <w:rPr>
                <w:spacing w:val="-2"/>
                <w:sz w:val="30"/>
              </w:rPr>
              <w:t>Total=1100</w:t>
            </w:r>
          </w:p>
        </w:tc>
        <w:tc>
          <w:tcPr>
            <w:tcW w:w="2341" w:type="dxa"/>
          </w:tcPr>
          <w:p>
            <w:pPr>
              <w:pStyle w:val="TableParagraph"/>
              <w:spacing w:before="88"/>
              <w:rPr>
                <w:b/>
                <w:sz w:val="30"/>
              </w:rPr>
            </w:pPr>
            <w:r>
              <w:rPr>
                <w:b/>
                <w:spacing w:val="-2"/>
                <w:sz w:val="30"/>
              </w:rPr>
              <w:t>Total=302</w:t>
            </w:r>
          </w:p>
        </w:tc>
      </w:tr>
    </w:tbl>
    <w:sectPr>
      <w:type w:val="continuous"/>
      <w:pgSz w:w="12240" w:h="15840"/>
      <w:pgMar w:top="78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Title" w:type="paragraph">
    <w:name w:val="Title"/>
    <w:basedOn w:val="Normal"/>
    <w:uiPriority w:val="1"/>
    <w:qFormat/>
    <w:pPr>
      <w:ind w:left="1514" w:right="1510"/>
      <w:jc w:val="center"/>
    </w:pPr>
    <w:rPr>
      <w:rFonts w:ascii="Arial" w:hAnsi="Arial" w:eastAsia="Arial" w:cs="Arial"/>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before="90"/>
      <w:ind w:left="87"/>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Kaho, Jane</dc:creator>
  <dc:title>Blank 5</dc:title>
  <dcterms:created xsi:type="dcterms:W3CDTF">2023-12-05T17:59:37Z</dcterms:created>
  <dcterms:modified xsi:type="dcterms:W3CDTF">2023-12-05T17:59:37Z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2018-05-24T00:00:00Z</vt:filetime>
  </property>
  <property fmtid="{D5CDD505-2E9C-101B-9397-08002B2CF9AE}" pid="3" name="Creator">
    <vt:lpwstr>Microsoft® Word 2016</vt:lpwstr>
  </property>
  <property fmtid="{D5CDD505-2E9C-101B-9397-08002B2CF9AE}" pid="4" name="LastSaved">
    <vt:filetime>2023-12-05T00:00:00Z</vt:filetime>
  </property>
  <property fmtid="{D5CDD505-2E9C-101B-9397-08002B2CF9AE}" pid="5" name="Producer">
    <vt:lpwstr>Microsoft® Word 2016</vt:lpwstr>
  </property>
</Properties>
</file>