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0" w:right="114" w:firstLine="0"/>
        <w:jc w:val="right"/>
        <w:rPr>
          <w:sz w:val="24"/>
        </w:rPr>
      </w:pPr>
      <w:r>
        <w:rPr>
          <w:spacing w:val="-2"/>
          <w:sz w:val="24"/>
        </w:rPr>
        <w:t>18.41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Title"/>
      </w:pPr>
      <w:r>
        <w:rPr/>
        <w:t>Policy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Period</w:t>
      </w:r>
      <w:r>
        <w:rPr>
          <w:spacing w:val="-4"/>
        </w:rPr>
        <w:t> </w:t>
      </w:r>
      <w:r>
        <w:rPr/>
        <w:t>Review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Award</w:t>
      </w:r>
      <w:r>
        <w:rPr>
          <w:spacing w:val="-2"/>
        </w:rPr>
        <w:t> Recipients</w:t>
      </w:r>
    </w:p>
    <w:p>
      <w:pPr>
        <w:pStyle w:val="BodyText"/>
        <w:rPr>
          <w:b/>
        </w:rPr>
      </w:pPr>
    </w:p>
    <w:p>
      <w:pPr>
        <w:pStyle w:val="BodyText"/>
        <w:ind w:left="100" w:right="58"/>
      </w:pPr>
      <w:r>
        <w:rPr/>
        <w:t>It shall be the policy of the School of Education that all faculty, staff and student awards school-wide would be collected annually and reviewed every three years, beginning of Fall 2018 semester, to determine the characteristics of recipients (e.g.,</w:t>
      </w:r>
      <w:r>
        <w:rPr>
          <w:spacing w:val="-5"/>
        </w:rPr>
        <w:t> </w:t>
      </w:r>
      <w:r>
        <w:rPr/>
        <w:t>race/ethnicity,</w:t>
      </w:r>
      <w:r>
        <w:rPr>
          <w:spacing w:val="-3"/>
        </w:rPr>
        <w:t> </w:t>
      </w:r>
      <w:r>
        <w:rPr/>
        <w:t>gender,</w:t>
      </w:r>
      <w:r>
        <w:rPr>
          <w:spacing w:val="-5"/>
        </w:rPr>
        <w:t> </w:t>
      </w:r>
      <w:r>
        <w:rPr/>
        <w:t>disability</w:t>
      </w:r>
      <w:r>
        <w:rPr>
          <w:spacing w:val="-4"/>
        </w:rPr>
        <w:t> </w:t>
      </w:r>
      <w:r>
        <w:rPr/>
        <w:t>status,</w:t>
      </w:r>
      <w:r>
        <w:rPr>
          <w:spacing w:val="-4"/>
        </w:rPr>
        <w:t> </w:t>
      </w:r>
      <w:r>
        <w:rPr/>
        <w:t>etc.)</w:t>
      </w:r>
      <w:r>
        <w:rPr>
          <w:spacing w:val="-3"/>
        </w:rPr>
        <w:t> </w:t>
      </w:r>
      <w:r>
        <w:rPr/>
        <w:t>relative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applicant</w:t>
      </w:r>
      <w:r>
        <w:rPr>
          <w:spacing w:val="-5"/>
        </w:rPr>
        <w:t> </w:t>
      </w:r>
      <w:r>
        <w:rPr/>
        <w:t>and/or nominee pool. The development of a report shall be coordinated by the Office of Undergraduate Studies, Office of Graduate Studies, and the Dean’s Office and submitted to the Committee on Diversity for review.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2189" w:right="2206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Lester</dc:creator>
  <dcterms:created xsi:type="dcterms:W3CDTF">2023-11-29T16:46:52Z</dcterms:created>
  <dcterms:modified xsi:type="dcterms:W3CDTF">2023-11-29T16:46:52Z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