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right="114"/>
        <w:jc w:val="right"/>
      </w:pPr>
      <w:r>
        <w:rPr>
          <w:spacing w:val="-2"/>
        </w:rPr>
        <w:t>19.20</w:t>
      </w:r>
    </w:p>
    <w:p>
      <w:pPr>
        <w:pStyle w:val="BodyText"/>
        <w:rPr>
          <w:sz w:val="20"/>
        </w:rPr>
      </w:pPr>
    </w:p>
    <w:p>
      <w:pPr>
        <w:pStyle w:val="BodyText"/>
        <w:rPr>
          <w:sz w:val="17"/>
        </w:rPr>
      </w:pPr>
    </w:p>
    <w:p>
      <w:pPr>
        <w:pStyle w:val="Title"/>
      </w:pPr>
      <w:r>
        <w:rPr/>
        <w:t>IUB</w:t>
      </w:r>
      <w:r>
        <w:rPr>
          <w:spacing w:val="-5"/>
        </w:rPr>
        <w:t> </w:t>
      </w:r>
      <w:r>
        <w:rPr/>
        <w:t>School</w:t>
      </w:r>
      <w:r>
        <w:rPr>
          <w:spacing w:val="-4"/>
        </w:rPr>
        <w:t> </w:t>
      </w:r>
      <w:r>
        <w:rPr/>
        <w:t>of</w:t>
      </w:r>
      <w:r>
        <w:rPr>
          <w:spacing w:val="-3"/>
        </w:rPr>
        <w:t> </w:t>
      </w:r>
      <w:r>
        <w:rPr/>
        <w:t>Education</w:t>
      </w:r>
      <w:r>
        <w:rPr>
          <w:spacing w:val="-4"/>
        </w:rPr>
        <w:t> </w:t>
      </w:r>
      <w:r>
        <w:rPr/>
        <w:t>Policy</w:t>
      </w:r>
      <w:r>
        <w:rPr>
          <w:spacing w:val="-2"/>
        </w:rPr>
        <w:t> </w:t>
      </w:r>
      <w:r>
        <w:rPr/>
        <w:t>on</w:t>
      </w:r>
      <w:r>
        <w:rPr>
          <w:spacing w:val="-6"/>
        </w:rPr>
        <w:t> </w:t>
      </w:r>
      <w:r>
        <w:rPr/>
        <w:t>Tested</w:t>
      </w:r>
      <w:r>
        <w:rPr>
          <w:spacing w:val="-5"/>
        </w:rPr>
        <w:t> </w:t>
      </w:r>
      <w:r>
        <w:rPr>
          <w:spacing w:val="-2"/>
        </w:rPr>
        <w:t>Experience</w:t>
      </w:r>
    </w:p>
    <w:p>
      <w:pPr>
        <w:pStyle w:val="BodyText"/>
        <w:rPr>
          <w:b/>
        </w:rPr>
      </w:pPr>
    </w:p>
    <w:p>
      <w:pPr>
        <w:pStyle w:val="BodyText"/>
        <w:rPr>
          <w:b/>
        </w:rPr>
      </w:pPr>
    </w:p>
    <w:p>
      <w:pPr>
        <w:pStyle w:val="BodyText"/>
        <w:spacing w:line="259" w:lineRule="auto" w:before="181"/>
        <w:ind w:left="100" w:right="131"/>
      </w:pPr>
      <w:r>
        <w:rPr/>
        <w:t>This policy statement specifies the criteria and assessment of "tested experience" for those faculty and adjunct faculty in the School of Education whose minimum qualification does not include a degree one level higher than the degree students in their classes are pursuing. Certainly the SOE policy is to hire faculty and adjunct faculty with the appropriate academic credential. However, there are times when</w:t>
      </w:r>
      <w:r>
        <w:rPr/>
        <w:t> the</w:t>
      </w:r>
      <w:r>
        <w:rPr>
          <w:spacing w:val="-4"/>
        </w:rPr>
        <w:t> </w:t>
      </w:r>
      <w:r>
        <w:rPr/>
        <w:t>most</w:t>
      </w:r>
      <w:r>
        <w:rPr>
          <w:spacing w:val="-2"/>
        </w:rPr>
        <w:t> </w:t>
      </w:r>
      <w:r>
        <w:rPr/>
        <w:t>appropriate faculty</w:t>
      </w:r>
      <w:r>
        <w:rPr>
          <w:spacing w:val="-3"/>
        </w:rPr>
        <w:t> </w:t>
      </w:r>
      <w:r>
        <w:rPr/>
        <w:t>or</w:t>
      </w:r>
      <w:r>
        <w:rPr>
          <w:spacing w:val="-2"/>
        </w:rPr>
        <w:t> </w:t>
      </w:r>
      <w:r>
        <w:rPr/>
        <w:t>adjunct</w:t>
      </w:r>
      <w:r>
        <w:rPr>
          <w:spacing w:val="-4"/>
        </w:rPr>
        <w:t> </w:t>
      </w:r>
      <w:r>
        <w:rPr/>
        <w:t>faculty</w:t>
      </w:r>
      <w:r>
        <w:rPr>
          <w:spacing w:val="-4"/>
        </w:rPr>
        <w:t> </w:t>
      </w:r>
      <w:r>
        <w:rPr/>
        <w:t>member</w:t>
      </w:r>
      <w:r>
        <w:rPr>
          <w:spacing w:val="-2"/>
        </w:rPr>
        <w:t> </w:t>
      </w:r>
      <w:r>
        <w:rPr/>
        <w:t>may</w:t>
      </w:r>
      <w:r>
        <w:rPr>
          <w:spacing w:val="-1"/>
        </w:rPr>
        <w:t> </w:t>
      </w:r>
      <w:r>
        <w:rPr/>
        <w:t>not</w:t>
      </w:r>
      <w:r>
        <w:rPr>
          <w:spacing w:val="-2"/>
        </w:rPr>
        <w:t> </w:t>
      </w:r>
      <w:r>
        <w:rPr/>
        <w:t>possess</w:t>
      </w:r>
      <w:r>
        <w:rPr>
          <w:spacing w:val="-1"/>
        </w:rPr>
        <w:t> </w:t>
      </w:r>
      <w:r>
        <w:rPr/>
        <w:t>this</w:t>
      </w:r>
      <w:r>
        <w:rPr>
          <w:spacing w:val="-5"/>
        </w:rPr>
        <w:t> </w:t>
      </w:r>
      <w:r>
        <w:rPr/>
        <w:t>credential</w:t>
      </w:r>
      <w:r>
        <w:rPr>
          <w:spacing w:val="-3"/>
        </w:rPr>
        <w:t> </w:t>
      </w:r>
      <w:r>
        <w:rPr/>
        <w:t>but</w:t>
      </w:r>
      <w:r>
        <w:rPr>
          <w:spacing w:val="-2"/>
        </w:rPr>
        <w:t> </w:t>
      </w:r>
      <w:r>
        <w:rPr/>
        <w:t>has</w:t>
      </w:r>
      <w:r>
        <w:rPr>
          <w:spacing w:val="-2"/>
        </w:rPr>
        <w:t> </w:t>
      </w:r>
      <w:r>
        <w:rPr/>
        <w:t>relevant experience in</w:t>
      </w:r>
      <w:r>
        <w:rPr>
          <w:spacing w:val="-1"/>
        </w:rPr>
        <w:t> </w:t>
      </w:r>
      <w:r>
        <w:rPr/>
        <w:t>educational</w:t>
      </w:r>
      <w:r>
        <w:rPr>
          <w:spacing w:val="-4"/>
        </w:rPr>
        <w:t> </w:t>
      </w:r>
      <w:r>
        <w:rPr/>
        <w:t>practice,</w:t>
      </w:r>
      <w:r>
        <w:rPr>
          <w:spacing w:val="-1"/>
        </w:rPr>
        <w:t> </w:t>
      </w:r>
      <w:r>
        <w:rPr/>
        <w:t>student</w:t>
      </w:r>
      <w:r>
        <w:rPr>
          <w:spacing w:val="-1"/>
        </w:rPr>
        <w:t> </w:t>
      </w:r>
      <w:r>
        <w:rPr/>
        <w:t>teaching</w:t>
      </w:r>
      <w:r>
        <w:rPr>
          <w:spacing w:val="-2"/>
        </w:rPr>
        <w:t> </w:t>
      </w:r>
      <w:r>
        <w:rPr/>
        <w:t>practicum</w:t>
      </w:r>
      <w:r>
        <w:rPr>
          <w:spacing w:val="-1"/>
        </w:rPr>
        <w:t> </w:t>
      </w:r>
      <w:r>
        <w:rPr/>
        <w:t>or</w:t>
      </w:r>
      <w:r>
        <w:rPr>
          <w:spacing w:val="-2"/>
        </w:rPr>
        <w:t> </w:t>
      </w:r>
      <w:r>
        <w:rPr/>
        <w:t>counseling psychology practicum. The Higher Learning Commission (HLC) mandate permits these faculty and adjunct faculty to be qualified in terms of their tested experience.</w:t>
      </w:r>
    </w:p>
    <w:p>
      <w:pPr>
        <w:pStyle w:val="BodyText"/>
        <w:spacing w:line="256" w:lineRule="auto" w:before="159"/>
        <w:ind w:left="100" w:right="131"/>
      </w:pPr>
      <w:r>
        <w:rPr/>
        <w:t>Tested</w:t>
      </w:r>
      <w:r>
        <w:rPr>
          <w:spacing w:val="-2"/>
        </w:rPr>
        <w:t> </w:t>
      </w:r>
      <w:r>
        <w:rPr/>
        <w:t>experience</w:t>
      </w:r>
      <w:r>
        <w:rPr>
          <w:spacing w:val="-4"/>
        </w:rPr>
        <w:t> </w:t>
      </w:r>
      <w:r>
        <w:rPr/>
        <w:t>in</w:t>
      </w:r>
      <w:r>
        <w:rPr>
          <w:spacing w:val="-2"/>
        </w:rPr>
        <w:t> </w:t>
      </w:r>
      <w:r>
        <w:rPr/>
        <w:t>the</w:t>
      </w:r>
      <w:r>
        <w:rPr>
          <w:spacing w:val="-5"/>
        </w:rPr>
        <w:t> </w:t>
      </w:r>
      <w:r>
        <w:rPr/>
        <w:t>School</w:t>
      </w:r>
      <w:r>
        <w:rPr>
          <w:spacing w:val="-4"/>
        </w:rPr>
        <w:t> </w:t>
      </w:r>
      <w:r>
        <w:rPr/>
        <w:t>of</w:t>
      </w:r>
      <w:r>
        <w:rPr>
          <w:spacing w:val="-4"/>
        </w:rPr>
        <w:t> </w:t>
      </w:r>
      <w:r>
        <w:rPr/>
        <w:t>Education</w:t>
      </w:r>
      <w:r>
        <w:rPr>
          <w:spacing w:val="-6"/>
        </w:rPr>
        <w:t> </w:t>
      </w:r>
      <w:r>
        <w:rPr/>
        <w:t>means</w:t>
      </w:r>
      <w:r>
        <w:rPr>
          <w:spacing w:val="-2"/>
        </w:rPr>
        <w:t> </w:t>
      </w:r>
      <w:r>
        <w:rPr/>
        <w:t>that faculty</w:t>
      </w:r>
      <w:r>
        <w:rPr>
          <w:spacing w:val="-2"/>
        </w:rPr>
        <w:t> </w:t>
      </w:r>
      <w:r>
        <w:rPr/>
        <w:t>and</w:t>
      </w:r>
      <w:r>
        <w:rPr>
          <w:spacing w:val="-4"/>
        </w:rPr>
        <w:t> </w:t>
      </w:r>
      <w:r>
        <w:rPr/>
        <w:t>adjunct</w:t>
      </w:r>
      <w:r>
        <w:rPr>
          <w:spacing w:val="-1"/>
        </w:rPr>
        <w:t> </w:t>
      </w:r>
      <w:r>
        <w:rPr/>
        <w:t>faculty should</w:t>
      </w:r>
      <w:r>
        <w:rPr>
          <w:spacing w:val="-4"/>
        </w:rPr>
        <w:t> </w:t>
      </w:r>
      <w:r>
        <w:rPr/>
        <w:t>have</w:t>
      </w:r>
      <w:r>
        <w:rPr>
          <w:spacing w:val="-2"/>
        </w:rPr>
        <w:t> </w:t>
      </w:r>
      <w:r>
        <w:rPr/>
        <w:t>the "breadth and depth of experience outside of the classroom in real world situations relevant to the discipline in which the faculty and adjunct faculty member would be teaching." (HLC guidelines)</w:t>
      </w:r>
    </w:p>
    <w:p>
      <w:pPr>
        <w:pStyle w:val="BodyText"/>
        <w:spacing w:before="166"/>
        <w:ind w:left="100"/>
      </w:pPr>
      <w:r>
        <w:rPr/>
        <w:t>The</w:t>
      </w:r>
      <w:r>
        <w:rPr>
          <w:spacing w:val="-4"/>
        </w:rPr>
        <w:t> </w:t>
      </w:r>
      <w:r>
        <w:rPr/>
        <w:t>expertise</w:t>
      </w:r>
      <w:r>
        <w:rPr>
          <w:spacing w:val="-4"/>
        </w:rPr>
        <w:t> </w:t>
      </w:r>
      <w:r>
        <w:rPr/>
        <w:t>areas</w:t>
      </w:r>
      <w:r>
        <w:rPr>
          <w:spacing w:val="-4"/>
        </w:rPr>
        <w:t> </w:t>
      </w:r>
      <w:r>
        <w:rPr/>
        <w:t>for</w:t>
      </w:r>
      <w:r>
        <w:rPr>
          <w:spacing w:val="-4"/>
        </w:rPr>
        <w:t> </w:t>
      </w:r>
      <w:r>
        <w:rPr/>
        <w:t>SOE</w:t>
      </w:r>
      <w:r>
        <w:rPr>
          <w:spacing w:val="-5"/>
        </w:rPr>
        <w:t> </w:t>
      </w:r>
      <w:r>
        <w:rPr/>
        <w:t>faculty</w:t>
      </w:r>
      <w:r>
        <w:rPr>
          <w:spacing w:val="-6"/>
        </w:rPr>
        <w:t> </w:t>
      </w:r>
      <w:r>
        <w:rPr/>
        <w:t>and</w:t>
      </w:r>
      <w:r>
        <w:rPr>
          <w:spacing w:val="-5"/>
        </w:rPr>
        <w:t> </w:t>
      </w:r>
      <w:r>
        <w:rPr/>
        <w:t>adjunct</w:t>
      </w:r>
      <w:r>
        <w:rPr>
          <w:spacing w:val="-3"/>
        </w:rPr>
        <w:t> </w:t>
      </w:r>
      <w:r>
        <w:rPr/>
        <w:t>faculty,</w:t>
      </w:r>
      <w:r>
        <w:rPr>
          <w:spacing w:val="-3"/>
        </w:rPr>
        <w:t> </w:t>
      </w:r>
      <w:r>
        <w:rPr/>
        <w:t>for</w:t>
      </w:r>
      <w:r>
        <w:rPr>
          <w:spacing w:val="-6"/>
        </w:rPr>
        <w:t> </w:t>
      </w:r>
      <w:r>
        <w:rPr/>
        <w:t>example,</w:t>
      </w:r>
      <w:r>
        <w:rPr>
          <w:spacing w:val="-7"/>
        </w:rPr>
        <w:t> </w:t>
      </w:r>
      <w:r>
        <w:rPr/>
        <w:t>would</w:t>
      </w:r>
      <w:r>
        <w:rPr>
          <w:spacing w:val="-6"/>
        </w:rPr>
        <w:t> </w:t>
      </w:r>
      <w:r>
        <w:rPr/>
        <w:t>typically</w:t>
      </w:r>
      <w:r>
        <w:rPr>
          <w:spacing w:val="-3"/>
        </w:rPr>
        <w:t> </w:t>
      </w:r>
      <w:r>
        <w:rPr>
          <w:spacing w:val="-2"/>
        </w:rPr>
        <w:t>include:</w:t>
      </w:r>
    </w:p>
    <w:p>
      <w:pPr>
        <w:pStyle w:val="ListParagraph"/>
        <w:numPr>
          <w:ilvl w:val="0"/>
          <w:numId w:val="1"/>
        </w:numPr>
        <w:tabs>
          <w:tab w:pos="1180" w:val="left" w:leader="none"/>
        </w:tabs>
        <w:spacing w:line="259" w:lineRule="auto" w:before="182" w:after="0"/>
        <w:ind w:left="1180" w:right="230" w:hanging="720"/>
        <w:jc w:val="left"/>
        <w:rPr>
          <w:sz w:val="22"/>
        </w:rPr>
      </w:pPr>
      <w:r>
        <w:rPr>
          <w:sz w:val="22"/>
        </w:rPr>
        <w:t>A</w:t>
      </w:r>
      <w:r>
        <w:rPr>
          <w:spacing w:val="-2"/>
          <w:sz w:val="22"/>
        </w:rPr>
        <w:t> </w:t>
      </w:r>
      <w:r>
        <w:rPr>
          <w:sz w:val="22"/>
        </w:rPr>
        <w:t>minimum</w:t>
      </w:r>
      <w:r>
        <w:rPr>
          <w:spacing w:val="-3"/>
          <w:sz w:val="22"/>
        </w:rPr>
        <w:t> </w:t>
      </w:r>
      <w:r>
        <w:rPr>
          <w:sz w:val="22"/>
        </w:rPr>
        <w:t>of</w:t>
      </w:r>
      <w:r>
        <w:rPr>
          <w:spacing w:val="-2"/>
          <w:sz w:val="22"/>
        </w:rPr>
        <w:t> </w:t>
      </w:r>
      <w:r>
        <w:rPr>
          <w:sz w:val="22"/>
        </w:rPr>
        <w:t>five</w:t>
      </w:r>
      <w:r>
        <w:rPr>
          <w:spacing w:val="-2"/>
          <w:sz w:val="22"/>
        </w:rPr>
        <w:t> </w:t>
      </w:r>
      <w:r>
        <w:rPr>
          <w:sz w:val="22"/>
        </w:rPr>
        <w:t>years</w:t>
      </w:r>
      <w:r>
        <w:rPr>
          <w:spacing w:val="-5"/>
          <w:sz w:val="22"/>
        </w:rPr>
        <w:t> </w:t>
      </w:r>
      <w:r>
        <w:rPr>
          <w:sz w:val="22"/>
        </w:rPr>
        <w:t>of</w:t>
      </w:r>
      <w:r>
        <w:rPr>
          <w:spacing w:val="-4"/>
          <w:sz w:val="22"/>
        </w:rPr>
        <w:t> </w:t>
      </w:r>
      <w:r>
        <w:rPr>
          <w:sz w:val="22"/>
        </w:rPr>
        <w:t>recent,</w:t>
      </w:r>
      <w:r>
        <w:rPr>
          <w:spacing w:val="-4"/>
          <w:sz w:val="22"/>
        </w:rPr>
        <w:t> </w:t>
      </w:r>
      <w:r>
        <w:rPr>
          <w:sz w:val="22"/>
        </w:rPr>
        <w:t>full-time</w:t>
      </w:r>
      <w:r>
        <w:rPr>
          <w:spacing w:val="-2"/>
          <w:sz w:val="22"/>
        </w:rPr>
        <w:t> </w:t>
      </w:r>
      <w:r>
        <w:rPr>
          <w:sz w:val="22"/>
        </w:rPr>
        <w:t>experience</w:t>
      </w:r>
      <w:r>
        <w:rPr>
          <w:spacing w:val="-2"/>
          <w:sz w:val="22"/>
        </w:rPr>
        <w:t> </w:t>
      </w:r>
      <w:r>
        <w:rPr>
          <w:sz w:val="22"/>
        </w:rPr>
        <w:t>working</w:t>
      </w:r>
      <w:r>
        <w:rPr>
          <w:spacing w:val="-3"/>
          <w:sz w:val="22"/>
        </w:rPr>
        <w:t> </w:t>
      </w:r>
      <w:r>
        <w:rPr>
          <w:sz w:val="22"/>
        </w:rPr>
        <w:t>in</w:t>
      </w:r>
      <w:r>
        <w:rPr>
          <w:spacing w:val="-2"/>
          <w:sz w:val="22"/>
        </w:rPr>
        <w:t> </w:t>
      </w:r>
      <w:r>
        <w:rPr>
          <w:sz w:val="22"/>
        </w:rPr>
        <w:t>an</w:t>
      </w:r>
      <w:r>
        <w:rPr>
          <w:spacing w:val="-5"/>
          <w:sz w:val="22"/>
        </w:rPr>
        <w:t> </w:t>
      </w:r>
      <w:r>
        <w:rPr>
          <w:sz w:val="22"/>
        </w:rPr>
        <w:t>educational</w:t>
      </w:r>
      <w:r>
        <w:rPr>
          <w:spacing w:val="-2"/>
          <w:sz w:val="22"/>
        </w:rPr>
        <w:t> </w:t>
      </w:r>
      <w:r>
        <w:rPr>
          <w:sz w:val="22"/>
        </w:rPr>
        <w:t>setting</w:t>
      </w:r>
      <w:r>
        <w:rPr>
          <w:spacing w:val="-3"/>
          <w:sz w:val="22"/>
        </w:rPr>
        <w:t> </w:t>
      </w:r>
      <w:r>
        <w:rPr>
          <w:sz w:val="22"/>
        </w:rPr>
        <w:t>in which teaching, research, counseling, or leading were central to their job description.</w:t>
      </w:r>
    </w:p>
    <w:p>
      <w:pPr>
        <w:pStyle w:val="ListParagraph"/>
        <w:numPr>
          <w:ilvl w:val="0"/>
          <w:numId w:val="1"/>
        </w:numPr>
        <w:tabs>
          <w:tab w:pos="1180" w:val="left" w:leader="none"/>
        </w:tabs>
        <w:spacing w:line="240" w:lineRule="auto" w:before="1" w:after="0"/>
        <w:ind w:left="1180" w:right="0" w:hanging="720"/>
        <w:jc w:val="left"/>
        <w:rPr>
          <w:sz w:val="22"/>
        </w:rPr>
      </w:pPr>
      <w:r>
        <w:rPr>
          <w:sz w:val="22"/>
        </w:rPr>
        <w:t>Knowledge</w:t>
      </w:r>
      <w:r>
        <w:rPr>
          <w:spacing w:val="-9"/>
          <w:sz w:val="22"/>
        </w:rPr>
        <w:t> </w:t>
      </w:r>
      <w:r>
        <w:rPr>
          <w:sz w:val="22"/>
        </w:rPr>
        <w:t>of</w:t>
      </w:r>
      <w:r>
        <w:rPr>
          <w:spacing w:val="-4"/>
          <w:sz w:val="22"/>
        </w:rPr>
        <w:t> </w:t>
      </w:r>
      <w:r>
        <w:rPr>
          <w:sz w:val="22"/>
        </w:rPr>
        <w:t>traditional</w:t>
      </w:r>
      <w:r>
        <w:rPr>
          <w:spacing w:val="-4"/>
          <w:sz w:val="22"/>
        </w:rPr>
        <w:t> </w:t>
      </w:r>
      <w:r>
        <w:rPr>
          <w:sz w:val="22"/>
        </w:rPr>
        <w:t>and</w:t>
      </w:r>
      <w:r>
        <w:rPr>
          <w:spacing w:val="-5"/>
          <w:sz w:val="22"/>
        </w:rPr>
        <w:t> </w:t>
      </w:r>
      <w:r>
        <w:rPr>
          <w:sz w:val="22"/>
        </w:rPr>
        <w:t>emergent</w:t>
      </w:r>
      <w:r>
        <w:rPr>
          <w:spacing w:val="-4"/>
          <w:sz w:val="22"/>
        </w:rPr>
        <w:t> </w:t>
      </w:r>
      <w:r>
        <w:rPr>
          <w:sz w:val="22"/>
        </w:rPr>
        <w:t>trends</w:t>
      </w:r>
      <w:r>
        <w:rPr>
          <w:spacing w:val="-4"/>
          <w:sz w:val="22"/>
        </w:rPr>
        <w:t> </w:t>
      </w:r>
      <w:r>
        <w:rPr>
          <w:sz w:val="22"/>
        </w:rPr>
        <w:t>in</w:t>
      </w:r>
      <w:r>
        <w:rPr>
          <w:spacing w:val="-4"/>
          <w:sz w:val="22"/>
        </w:rPr>
        <w:t> </w:t>
      </w:r>
      <w:r>
        <w:rPr>
          <w:spacing w:val="-2"/>
          <w:sz w:val="22"/>
        </w:rPr>
        <w:t>education</w:t>
      </w:r>
    </w:p>
    <w:p>
      <w:pPr>
        <w:pStyle w:val="ListParagraph"/>
        <w:numPr>
          <w:ilvl w:val="0"/>
          <w:numId w:val="1"/>
        </w:numPr>
        <w:tabs>
          <w:tab w:pos="1180" w:val="left" w:leader="none"/>
        </w:tabs>
        <w:spacing w:line="240" w:lineRule="auto" w:before="22" w:after="0"/>
        <w:ind w:left="1180" w:right="0" w:hanging="720"/>
        <w:jc w:val="left"/>
        <w:rPr>
          <w:sz w:val="22"/>
        </w:rPr>
      </w:pPr>
      <w:r>
        <w:rPr>
          <w:sz w:val="22"/>
        </w:rPr>
        <w:t>Knowledge</w:t>
      </w:r>
      <w:r>
        <w:rPr>
          <w:spacing w:val="-4"/>
          <w:sz w:val="22"/>
        </w:rPr>
        <w:t> </w:t>
      </w:r>
      <w:r>
        <w:rPr>
          <w:sz w:val="22"/>
        </w:rPr>
        <w:t>and</w:t>
      </w:r>
      <w:r>
        <w:rPr>
          <w:spacing w:val="-4"/>
          <w:sz w:val="22"/>
        </w:rPr>
        <w:t> </w:t>
      </w:r>
      <w:r>
        <w:rPr>
          <w:sz w:val="22"/>
        </w:rPr>
        <w:t>ability</w:t>
      </w:r>
      <w:r>
        <w:rPr>
          <w:spacing w:val="-3"/>
          <w:sz w:val="22"/>
        </w:rPr>
        <w:t> </w:t>
      </w:r>
      <w:r>
        <w:rPr>
          <w:sz w:val="22"/>
        </w:rPr>
        <w:t>to</w:t>
      </w:r>
      <w:r>
        <w:rPr>
          <w:spacing w:val="-2"/>
          <w:sz w:val="22"/>
        </w:rPr>
        <w:t> </w:t>
      </w:r>
      <w:r>
        <w:rPr>
          <w:sz w:val="22"/>
        </w:rPr>
        <w:t>use</w:t>
      </w:r>
      <w:r>
        <w:rPr>
          <w:spacing w:val="-3"/>
          <w:sz w:val="22"/>
        </w:rPr>
        <w:t> </w:t>
      </w:r>
      <w:r>
        <w:rPr>
          <w:sz w:val="22"/>
        </w:rPr>
        <w:t>relevant</w:t>
      </w:r>
      <w:r>
        <w:rPr>
          <w:spacing w:val="-5"/>
          <w:sz w:val="22"/>
        </w:rPr>
        <w:t> </w:t>
      </w:r>
      <w:r>
        <w:rPr>
          <w:sz w:val="22"/>
        </w:rPr>
        <w:t>delivery</w:t>
      </w:r>
      <w:r>
        <w:rPr>
          <w:spacing w:val="-5"/>
          <w:sz w:val="22"/>
        </w:rPr>
        <w:t> </w:t>
      </w:r>
      <w:r>
        <w:rPr>
          <w:sz w:val="22"/>
        </w:rPr>
        <w:t>formats,</w:t>
      </w:r>
      <w:r>
        <w:rPr>
          <w:spacing w:val="-3"/>
          <w:sz w:val="22"/>
        </w:rPr>
        <w:t> </w:t>
      </w:r>
      <w:r>
        <w:rPr>
          <w:sz w:val="22"/>
        </w:rPr>
        <w:t>such</w:t>
      </w:r>
      <w:r>
        <w:rPr>
          <w:spacing w:val="-3"/>
          <w:sz w:val="22"/>
        </w:rPr>
        <w:t> </w:t>
      </w:r>
      <w:r>
        <w:rPr>
          <w:sz w:val="22"/>
        </w:rPr>
        <w:t>as</w:t>
      </w:r>
      <w:r>
        <w:rPr>
          <w:spacing w:val="-6"/>
          <w:sz w:val="22"/>
        </w:rPr>
        <w:t> </w:t>
      </w:r>
      <w:r>
        <w:rPr>
          <w:sz w:val="22"/>
        </w:rPr>
        <w:t>online</w:t>
      </w:r>
      <w:r>
        <w:rPr>
          <w:spacing w:val="-5"/>
          <w:sz w:val="22"/>
        </w:rPr>
        <w:t> </w:t>
      </w:r>
      <w:r>
        <w:rPr>
          <w:spacing w:val="-2"/>
          <w:sz w:val="22"/>
        </w:rPr>
        <w:t>courses.</w:t>
      </w:r>
    </w:p>
    <w:p>
      <w:pPr>
        <w:pStyle w:val="ListParagraph"/>
        <w:numPr>
          <w:ilvl w:val="0"/>
          <w:numId w:val="1"/>
        </w:numPr>
        <w:tabs>
          <w:tab w:pos="1180" w:val="left" w:leader="none"/>
        </w:tabs>
        <w:spacing w:line="240" w:lineRule="auto" w:before="17" w:after="0"/>
        <w:ind w:left="1180" w:right="0" w:hanging="720"/>
        <w:jc w:val="left"/>
        <w:rPr>
          <w:sz w:val="22"/>
        </w:rPr>
      </w:pPr>
      <w:r>
        <w:rPr>
          <w:sz w:val="22"/>
        </w:rPr>
        <w:t>Familiarity</w:t>
      </w:r>
      <w:r>
        <w:rPr>
          <w:spacing w:val="-7"/>
          <w:sz w:val="22"/>
        </w:rPr>
        <w:t> </w:t>
      </w:r>
      <w:r>
        <w:rPr>
          <w:sz w:val="22"/>
        </w:rPr>
        <w:t>with</w:t>
      </w:r>
      <w:r>
        <w:rPr>
          <w:spacing w:val="-5"/>
          <w:sz w:val="22"/>
        </w:rPr>
        <w:t> </w:t>
      </w:r>
      <w:r>
        <w:rPr>
          <w:sz w:val="22"/>
        </w:rPr>
        <w:t>current</w:t>
      </w:r>
      <w:r>
        <w:rPr>
          <w:spacing w:val="-8"/>
          <w:sz w:val="22"/>
        </w:rPr>
        <w:t> </w:t>
      </w:r>
      <w:r>
        <w:rPr>
          <w:sz w:val="22"/>
        </w:rPr>
        <w:t>professional</w:t>
      </w:r>
      <w:r>
        <w:rPr>
          <w:spacing w:val="-5"/>
          <w:sz w:val="22"/>
        </w:rPr>
        <w:t> </w:t>
      </w:r>
      <w:r>
        <w:rPr>
          <w:sz w:val="22"/>
        </w:rPr>
        <w:t>practices</w:t>
      </w:r>
      <w:r>
        <w:rPr>
          <w:spacing w:val="-4"/>
          <w:sz w:val="22"/>
        </w:rPr>
        <w:t> </w:t>
      </w:r>
      <w:r>
        <w:rPr>
          <w:sz w:val="22"/>
        </w:rPr>
        <w:t>in</w:t>
      </w:r>
      <w:r>
        <w:rPr>
          <w:spacing w:val="-7"/>
          <w:sz w:val="22"/>
        </w:rPr>
        <w:t> </w:t>
      </w:r>
      <w:r>
        <w:rPr>
          <w:sz w:val="22"/>
        </w:rPr>
        <w:t>the</w:t>
      </w:r>
      <w:r>
        <w:rPr>
          <w:spacing w:val="-5"/>
          <w:sz w:val="22"/>
        </w:rPr>
        <w:t> </w:t>
      </w:r>
      <w:r>
        <w:rPr>
          <w:sz w:val="22"/>
        </w:rPr>
        <w:t>relevant</w:t>
      </w:r>
      <w:r>
        <w:rPr>
          <w:spacing w:val="-7"/>
          <w:sz w:val="22"/>
        </w:rPr>
        <w:t> </w:t>
      </w:r>
      <w:r>
        <w:rPr>
          <w:sz w:val="22"/>
        </w:rPr>
        <w:t>educational</w:t>
      </w:r>
      <w:r>
        <w:rPr>
          <w:spacing w:val="-4"/>
          <w:sz w:val="22"/>
        </w:rPr>
        <w:t> </w:t>
      </w:r>
      <w:r>
        <w:rPr>
          <w:spacing w:val="-2"/>
          <w:sz w:val="22"/>
        </w:rPr>
        <w:t>area.</w:t>
      </w:r>
    </w:p>
    <w:p>
      <w:pPr>
        <w:pStyle w:val="BodyText"/>
        <w:spacing w:line="254" w:lineRule="auto" w:before="185"/>
        <w:ind w:left="100" w:right="228"/>
      </w:pPr>
      <w:r>
        <w:rPr/>
        <w:t>In</w:t>
      </w:r>
      <w:r>
        <w:rPr>
          <w:spacing w:val="-5"/>
        </w:rPr>
        <w:t> </w:t>
      </w:r>
      <w:r>
        <w:rPr/>
        <w:t>order</w:t>
      </w:r>
      <w:r>
        <w:rPr>
          <w:spacing w:val="-3"/>
        </w:rPr>
        <w:t> </w:t>
      </w:r>
      <w:r>
        <w:rPr/>
        <w:t>for</w:t>
      </w:r>
      <w:r>
        <w:rPr>
          <w:spacing w:val="-3"/>
        </w:rPr>
        <w:t> </w:t>
      </w:r>
      <w:r>
        <w:rPr/>
        <w:t>an</w:t>
      </w:r>
      <w:r>
        <w:rPr>
          <w:spacing w:val="-3"/>
        </w:rPr>
        <w:t> </w:t>
      </w:r>
      <w:r>
        <w:rPr/>
        <w:t>individual</w:t>
      </w:r>
      <w:r>
        <w:rPr>
          <w:spacing w:val="-3"/>
        </w:rPr>
        <w:t> </w:t>
      </w:r>
      <w:r>
        <w:rPr/>
        <w:t>to</w:t>
      </w:r>
      <w:r>
        <w:rPr>
          <w:spacing w:val="-5"/>
        </w:rPr>
        <w:t> </w:t>
      </w:r>
      <w:r>
        <w:rPr/>
        <w:t>teach</w:t>
      </w:r>
      <w:r>
        <w:rPr>
          <w:spacing w:val="-6"/>
        </w:rPr>
        <w:t> </w:t>
      </w:r>
      <w:r>
        <w:rPr/>
        <w:t>courses</w:t>
      </w:r>
      <w:r>
        <w:rPr>
          <w:spacing w:val="-2"/>
        </w:rPr>
        <w:t> </w:t>
      </w:r>
      <w:r>
        <w:rPr/>
        <w:t>based</w:t>
      </w:r>
      <w:r>
        <w:rPr>
          <w:spacing w:val="-3"/>
        </w:rPr>
        <w:t> </w:t>
      </w:r>
      <w:r>
        <w:rPr/>
        <w:t>on</w:t>
      </w:r>
      <w:r>
        <w:rPr>
          <w:spacing w:val="-6"/>
        </w:rPr>
        <w:t> </w:t>
      </w:r>
      <w:r>
        <w:rPr/>
        <w:t>tested</w:t>
      </w:r>
      <w:r>
        <w:rPr>
          <w:spacing w:val="-4"/>
        </w:rPr>
        <w:t> </w:t>
      </w:r>
      <w:r>
        <w:rPr/>
        <w:t>experience,</w:t>
      </w:r>
      <w:r>
        <w:rPr>
          <w:spacing w:val="-3"/>
        </w:rPr>
        <w:t> </w:t>
      </w:r>
      <w:r>
        <w:rPr/>
        <w:t>the</w:t>
      </w:r>
      <w:r>
        <w:rPr>
          <w:spacing w:val="-3"/>
        </w:rPr>
        <w:t> </w:t>
      </w:r>
      <w:r>
        <w:rPr/>
        <w:t>appropriate</w:t>
      </w:r>
      <w:r>
        <w:rPr>
          <w:spacing w:val="-3"/>
        </w:rPr>
        <w:t> </w:t>
      </w:r>
      <w:r>
        <w:rPr/>
        <w:t>department chair should submit a case</w:t>
      </w:r>
      <w:r>
        <w:rPr>
          <w:spacing w:val="-1"/>
        </w:rPr>
        <w:t> </w:t>
      </w:r>
      <w:r>
        <w:rPr/>
        <w:t>to the Executive Associate</w:t>
      </w:r>
      <w:r>
        <w:rPr>
          <w:spacing w:val="-1"/>
        </w:rPr>
        <w:t> </w:t>
      </w:r>
      <w:r>
        <w:rPr/>
        <w:t>Dean, who will grant approval or disapprove.</w:t>
      </w:r>
    </w:p>
    <w:sectPr>
      <w:type w:val="continuous"/>
      <w:pgSz w:w="12240" w:h="15840"/>
      <w:pgMar w:top="6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80" w:hanging="72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2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700" w:hanging="720"/>
      </w:pPr>
      <w:rPr>
        <w:rFonts w:hint="default"/>
        <w:lang w:val="en-US" w:eastAsia="en-US" w:bidi="ar-SA"/>
      </w:rPr>
    </w:lvl>
    <w:lvl w:ilvl="4">
      <w:start w:val="0"/>
      <w:numFmt w:val="bullet"/>
      <w:lvlText w:val="•"/>
      <w:lvlJc w:val="left"/>
      <w:pPr>
        <w:ind w:left="4540" w:hanging="720"/>
      </w:pPr>
      <w:rPr>
        <w:rFonts w:hint="default"/>
        <w:lang w:val="en-US" w:eastAsia="en-US" w:bidi="ar-SA"/>
      </w:rPr>
    </w:lvl>
    <w:lvl w:ilvl="5">
      <w:start w:val="0"/>
      <w:numFmt w:val="bullet"/>
      <w:lvlText w:val="•"/>
      <w:lvlJc w:val="left"/>
      <w:pPr>
        <w:ind w:left="5380" w:hanging="720"/>
      </w:pPr>
      <w:rPr>
        <w:rFonts w:hint="default"/>
        <w:lang w:val="en-US" w:eastAsia="en-US" w:bidi="ar-SA"/>
      </w:rPr>
    </w:lvl>
    <w:lvl w:ilvl="6">
      <w:start w:val="0"/>
      <w:numFmt w:val="bullet"/>
      <w:lvlText w:val="•"/>
      <w:lvlJc w:val="left"/>
      <w:pPr>
        <w:ind w:left="6220" w:hanging="720"/>
      </w:pPr>
      <w:rPr>
        <w:rFonts w:hint="default"/>
        <w:lang w:val="en-US" w:eastAsia="en-US" w:bidi="ar-SA"/>
      </w:rPr>
    </w:lvl>
    <w:lvl w:ilvl="7">
      <w:start w:val="0"/>
      <w:numFmt w:val="bullet"/>
      <w:lvlText w:val="•"/>
      <w:lvlJc w:val="left"/>
      <w:pPr>
        <w:ind w:left="7060" w:hanging="720"/>
      </w:pPr>
      <w:rPr>
        <w:rFonts w:hint="default"/>
        <w:lang w:val="en-US" w:eastAsia="en-US" w:bidi="ar-SA"/>
      </w:rPr>
    </w:lvl>
    <w:lvl w:ilvl="8">
      <w:start w:val="0"/>
      <w:numFmt w:val="bullet"/>
      <w:lvlText w:val="•"/>
      <w:lvlJc w:val="left"/>
      <w:pPr>
        <w:ind w:left="790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left="2404" w:right="2418"/>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
      <w:ind w:left="1180" w:hanging="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 Jane</dc:creator>
  <dcterms:created xsi:type="dcterms:W3CDTF">2023-11-29T16:48:16Z</dcterms:created>
  <dcterms:modified xsi:type="dcterms:W3CDTF">2023-11-29T16:48:16Z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