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IUB</w:t>
      </w:r>
      <w:r>
        <w:rPr>
          <w:spacing w:val="-1"/>
        </w:rPr>
        <w:t> </w:t>
      </w:r>
      <w:r>
        <w:rPr/>
        <w:t>Guidelines</w:t>
      </w:r>
      <w:r>
        <w:rPr>
          <w:spacing w:val="-1"/>
        </w:rPr>
        <w:t> </w:t>
      </w:r>
      <w:r>
        <w:rPr/>
        <w:t>for</w:t>
      </w:r>
      <w:r>
        <w:rPr>
          <w:spacing w:val="-2"/>
        </w:rPr>
        <w:t> </w:t>
      </w:r>
      <w:r>
        <w:rPr/>
        <w:t>the</w:t>
      </w:r>
      <w:r>
        <w:rPr>
          <w:spacing w:val="-1"/>
        </w:rPr>
        <w:t> </w:t>
      </w:r>
      <w:r>
        <w:rPr/>
        <w:t>Review of Research</w:t>
      </w:r>
      <w:r>
        <w:rPr>
          <w:spacing w:val="-1"/>
        </w:rPr>
        <w:t> </w:t>
      </w:r>
      <w:r>
        <w:rPr/>
        <w:t>Centers in the</w:t>
      </w:r>
      <w:r>
        <w:rPr>
          <w:spacing w:val="-1"/>
        </w:rPr>
        <w:t> </w:t>
      </w:r>
      <w:r>
        <w:rPr/>
        <w:t>School</w:t>
      </w:r>
      <w:r>
        <w:rPr>
          <w:spacing w:val="-1"/>
        </w:rPr>
        <w:t> </w:t>
      </w:r>
      <w:r>
        <w:rPr/>
        <w:t>of</w:t>
      </w:r>
      <w:r>
        <w:rPr>
          <w:spacing w:val="1"/>
        </w:rPr>
        <w:t> </w:t>
      </w:r>
      <w:r>
        <w:rPr>
          <w:spacing w:val="-2"/>
        </w:rPr>
        <w:t>Education</w:t>
      </w:r>
    </w:p>
    <w:p>
      <w:pPr>
        <w:pStyle w:val="BodyText"/>
        <w:ind w:left="2069" w:right="2088"/>
        <w:jc w:val="center"/>
      </w:pPr>
      <w:r>
        <w:rPr/>
        <w:t>Indiana</w:t>
      </w:r>
      <w:r>
        <w:rPr>
          <w:spacing w:val="-7"/>
        </w:rPr>
        <w:t> </w:t>
      </w:r>
      <w:r>
        <w:rPr/>
        <w:t>University</w:t>
      </w:r>
      <w:r>
        <w:rPr>
          <w:spacing w:val="-10"/>
        </w:rPr>
        <w:t> </w:t>
      </w:r>
      <w:r>
        <w:rPr/>
        <w:t>Office</w:t>
      </w:r>
      <w:r>
        <w:rPr>
          <w:spacing w:val="-7"/>
        </w:rPr>
        <w:t> </w:t>
      </w:r>
      <w:r>
        <w:rPr/>
        <w:t>of</w:t>
      </w:r>
      <w:r>
        <w:rPr>
          <w:spacing w:val="-7"/>
        </w:rPr>
        <w:t> </w:t>
      </w:r>
      <w:r>
        <w:rPr/>
        <w:t>Research</w:t>
      </w:r>
      <w:r>
        <w:rPr>
          <w:spacing w:val="-5"/>
        </w:rPr>
        <w:t> </w:t>
      </w:r>
      <w:r>
        <w:rPr/>
        <w:t>and</w:t>
      </w:r>
      <w:r>
        <w:rPr>
          <w:spacing w:val="-7"/>
        </w:rPr>
        <w:t> </w:t>
      </w:r>
      <w:r>
        <w:rPr/>
        <w:t>Development Modified October 10, 2018</w:t>
      </w:r>
    </w:p>
    <w:p>
      <w:pPr>
        <w:pStyle w:val="BodyText"/>
        <w:spacing w:before="9"/>
        <w:rPr>
          <w:sz w:val="23"/>
        </w:rPr>
      </w:pPr>
    </w:p>
    <w:p>
      <w:pPr>
        <w:pStyle w:val="BodyText"/>
        <w:spacing w:line="480" w:lineRule="auto" w:before="1"/>
        <w:ind w:left="100" w:right="5167"/>
      </w:pPr>
      <w:r>
        <w:rPr/>
        <w:t>This</w:t>
      </w:r>
      <w:r>
        <w:rPr>
          <w:spacing w:val="-9"/>
        </w:rPr>
        <w:t> </w:t>
      </w:r>
      <w:r>
        <w:rPr/>
        <w:t>policy</w:t>
      </w:r>
      <w:r>
        <w:rPr>
          <w:spacing w:val="-13"/>
        </w:rPr>
        <w:t> </w:t>
      </w:r>
      <w:r>
        <w:rPr/>
        <w:t>supersedes</w:t>
      </w:r>
      <w:r>
        <w:rPr>
          <w:spacing w:val="-9"/>
        </w:rPr>
        <w:t> </w:t>
      </w:r>
      <w:r>
        <w:rPr/>
        <w:t>policy</w:t>
      </w:r>
      <w:r>
        <w:rPr>
          <w:spacing w:val="-13"/>
        </w:rPr>
        <w:t> </w:t>
      </w:r>
      <w:r>
        <w:rPr/>
        <w:t>16.42 </w:t>
      </w:r>
      <w:r>
        <w:rPr>
          <w:spacing w:val="-2"/>
        </w:rPr>
        <w:t>Overview</w:t>
      </w:r>
    </w:p>
    <w:p>
      <w:pPr>
        <w:pStyle w:val="BodyText"/>
        <w:ind w:left="100" w:right="130"/>
      </w:pPr>
      <w:r>
        <w:rPr/>
        <w:t>The research centers (Centers) within the School of Education must complete a review every seven years as stated in the Guidelines for the Establishment, Approval and Review of Centers and</w:t>
      </w:r>
      <w:r>
        <w:rPr>
          <w:spacing w:val="-3"/>
        </w:rPr>
        <w:t> </w:t>
      </w:r>
      <w:r>
        <w:rPr/>
        <w:t>Institutes</w:t>
      </w:r>
      <w:r>
        <w:rPr>
          <w:spacing w:val="-5"/>
        </w:rPr>
        <w:t> </w:t>
      </w:r>
      <w:r>
        <w:rPr/>
        <w:t>at</w:t>
      </w:r>
      <w:r>
        <w:rPr>
          <w:spacing w:val="-3"/>
        </w:rPr>
        <w:t> </w:t>
      </w:r>
      <w:r>
        <w:rPr/>
        <w:t>IU</w:t>
      </w:r>
      <w:r>
        <w:rPr>
          <w:spacing w:val="-5"/>
        </w:rPr>
        <w:t> </w:t>
      </w:r>
      <w:r>
        <w:rPr/>
        <w:t>Bloomington</w:t>
      </w:r>
      <w:r>
        <w:rPr>
          <w:spacing w:val="-3"/>
        </w:rPr>
        <w:t> </w:t>
      </w:r>
      <w:r>
        <w:rPr/>
        <w:t>(</w:t>
      </w:r>
      <w:hyperlink r:id="rId7">
        <w:r>
          <w:rPr>
            <w:color w:val="0000FF"/>
            <w:u w:val="single" w:color="0000FF"/>
          </w:rPr>
          <w:t>http://www.iu.edu/~vpr/centers_policy.shtml</w:t>
        </w:r>
      </w:hyperlink>
      <w:r>
        <w:rPr/>
        <w:t>).</w:t>
      </w:r>
      <w:r>
        <w:rPr>
          <w:spacing w:val="-5"/>
        </w:rPr>
        <w:t> </w:t>
      </w:r>
      <w:r>
        <w:rPr/>
        <w:t>This</w:t>
      </w:r>
      <w:r>
        <w:rPr>
          <w:spacing w:val="-5"/>
        </w:rPr>
        <w:t> </w:t>
      </w:r>
      <w:r>
        <w:rPr/>
        <w:t>review</w:t>
      </w:r>
      <w:r>
        <w:rPr>
          <w:spacing w:val="-6"/>
        </w:rPr>
        <w:t> </w:t>
      </w:r>
      <w:r>
        <w:rPr/>
        <w:t>is</w:t>
      </w:r>
      <w:r>
        <w:rPr>
          <w:spacing w:val="-4"/>
        </w:rPr>
        <w:t> </w:t>
      </w:r>
      <w:r>
        <w:rPr/>
        <w:t>a summative and formative process in which the strengths and weaknesses of the Center are identified, discussed and used to suggest future actions. The ultimate goal of the review process is an enhancement of the mission of the School of Education.</w:t>
      </w:r>
    </w:p>
    <w:p>
      <w:pPr>
        <w:pStyle w:val="BodyText"/>
      </w:pPr>
    </w:p>
    <w:p>
      <w:pPr>
        <w:pStyle w:val="BodyText"/>
        <w:spacing w:before="1"/>
        <w:ind w:left="100" w:right="169"/>
      </w:pPr>
      <w:r>
        <w:rPr/>
        <w:t>The following guidelines have been developed to guide this review process. The basic components</w:t>
      </w:r>
      <w:r>
        <w:rPr>
          <w:spacing w:val="-3"/>
        </w:rPr>
        <w:t> </w:t>
      </w:r>
      <w:r>
        <w:rPr/>
        <w:t>of</w:t>
      </w:r>
      <w:r>
        <w:rPr>
          <w:spacing w:val="-4"/>
        </w:rPr>
        <w:t> </w:t>
      </w:r>
      <w:r>
        <w:rPr/>
        <w:t>this</w:t>
      </w:r>
      <w:r>
        <w:rPr>
          <w:spacing w:val="-3"/>
        </w:rPr>
        <w:t> </w:t>
      </w:r>
      <w:r>
        <w:rPr/>
        <w:t>process</w:t>
      </w:r>
      <w:r>
        <w:rPr>
          <w:spacing w:val="-2"/>
        </w:rPr>
        <w:t> </w:t>
      </w:r>
      <w:r>
        <w:rPr/>
        <w:t>include</w:t>
      </w:r>
      <w:r>
        <w:rPr>
          <w:spacing w:val="-4"/>
        </w:rPr>
        <w:t> </w:t>
      </w:r>
      <w:r>
        <w:rPr/>
        <w:t>a(n):</w:t>
      </w:r>
      <w:r>
        <w:rPr>
          <w:spacing w:val="-3"/>
        </w:rPr>
        <w:t> </w:t>
      </w:r>
      <w:r>
        <w:rPr/>
        <w:t>(1)</w:t>
      </w:r>
      <w:r>
        <w:rPr>
          <w:spacing w:val="-3"/>
        </w:rPr>
        <w:t> </w:t>
      </w:r>
      <w:r>
        <w:rPr/>
        <w:t>self-study;</w:t>
      </w:r>
      <w:r>
        <w:rPr>
          <w:spacing w:val="-3"/>
        </w:rPr>
        <w:t> </w:t>
      </w:r>
      <w:r>
        <w:rPr/>
        <w:t>(2)</w:t>
      </w:r>
      <w:r>
        <w:rPr>
          <w:spacing w:val="-3"/>
        </w:rPr>
        <w:t> </w:t>
      </w:r>
      <w:r>
        <w:rPr/>
        <w:t>external</w:t>
      </w:r>
      <w:r>
        <w:rPr>
          <w:spacing w:val="-3"/>
        </w:rPr>
        <w:t> </w:t>
      </w:r>
      <w:r>
        <w:rPr/>
        <w:t>review;</w:t>
      </w:r>
      <w:r>
        <w:rPr>
          <w:spacing w:val="-3"/>
        </w:rPr>
        <w:t> </w:t>
      </w:r>
      <w:r>
        <w:rPr/>
        <w:t>and</w:t>
      </w:r>
      <w:r>
        <w:rPr>
          <w:spacing w:val="-3"/>
        </w:rPr>
        <w:t> </w:t>
      </w:r>
      <w:r>
        <w:rPr/>
        <w:t>(3)</w:t>
      </w:r>
      <w:r>
        <w:rPr>
          <w:spacing w:val="40"/>
        </w:rPr>
        <w:t> </w:t>
      </w:r>
      <w:r>
        <w:rPr/>
        <w:t>seven-year strategic plan.</w:t>
      </w:r>
    </w:p>
    <w:p>
      <w:pPr>
        <w:pStyle w:val="BodyText"/>
        <w:spacing w:before="11"/>
        <w:rPr>
          <w:sz w:val="23"/>
        </w:rPr>
      </w:pPr>
    </w:p>
    <w:p>
      <w:pPr>
        <w:spacing w:before="0"/>
        <w:ind w:left="100" w:right="0" w:firstLine="0"/>
        <w:jc w:val="left"/>
        <w:rPr>
          <w:i/>
          <w:sz w:val="24"/>
        </w:rPr>
      </w:pPr>
      <w:r>
        <w:rPr>
          <w:i/>
          <w:spacing w:val="-2"/>
          <w:sz w:val="24"/>
          <w:u w:val="single"/>
        </w:rPr>
        <w:t>Self-Study</w:t>
      </w:r>
    </w:p>
    <w:p>
      <w:pPr>
        <w:pStyle w:val="BodyText"/>
        <w:spacing w:before="2"/>
        <w:rPr>
          <w:i/>
          <w:sz w:val="16"/>
        </w:rPr>
      </w:pPr>
    </w:p>
    <w:p>
      <w:pPr>
        <w:pStyle w:val="BodyText"/>
        <w:spacing w:before="90"/>
        <w:ind w:left="100" w:right="169"/>
      </w:pPr>
      <w:r>
        <w:rPr/>
        <w:t>The</w:t>
      </w:r>
      <w:r>
        <w:rPr>
          <w:spacing w:val="-4"/>
        </w:rPr>
        <w:t> </w:t>
      </w:r>
      <w:r>
        <w:rPr/>
        <w:t>self-study</w:t>
      </w:r>
      <w:r>
        <w:rPr>
          <w:spacing w:val="-7"/>
        </w:rPr>
        <w:t> </w:t>
      </w:r>
      <w:r>
        <w:rPr/>
        <w:t>document</w:t>
      </w:r>
      <w:r>
        <w:rPr>
          <w:spacing w:val="-1"/>
        </w:rPr>
        <w:t> </w:t>
      </w:r>
      <w:r>
        <w:rPr/>
        <w:t>is</w:t>
      </w:r>
      <w:r>
        <w:rPr>
          <w:spacing w:val="-2"/>
        </w:rPr>
        <w:t> </w:t>
      </w:r>
      <w:r>
        <w:rPr/>
        <w:t>developed</w:t>
      </w:r>
      <w:r>
        <w:rPr>
          <w:spacing w:val="-3"/>
        </w:rPr>
        <w:t> </w:t>
      </w:r>
      <w:r>
        <w:rPr/>
        <w:t>by</w:t>
      </w:r>
      <w:r>
        <w:rPr>
          <w:spacing w:val="-7"/>
        </w:rPr>
        <w:t> </w:t>
      </w:r>
      <w:r>
        <w:rPr/>
        <w:t>the</w:t>
      </w:r>
      <w:r>
        <w:rPr>
          <w:spacing w:val="-3"/>
        </w:rPr>
        <w:t> </w:t>
      </w:r>
      <w:r>
        <w:rPr/>
        <w:t>Center’s</w:t>
      </w:r>
      <w:r>
        <w:rPr>
          <w:spacing w:val="-3"/>
        </w:rPr>
        <w:t> </w:t>
      </w:r>
      <w:r>
        <w:rPr/>
        <w:t>director</w:t>
      </w:r>
      <w:r>
        <w:rPr>
          <w:spacing w:val="-3"/>
        </w:rPr>
        <w:t> </w:t>
      </w:r>
      <w:r>
        <w:rPr/>
        <w:t>in</w:t>
      </w:r>
      <w:r>
        <w:rPr>
          <w:spacing w:val="-3"/>
        </w:rPr>
        <w:t> </w:t>
      </w:r>
      <w:r>
        <w:rPr/>
        <w:t>consultation</w:t>
      </w:r>
      <w:r>
        <w:rPr>
          <w:spacing w:val="-3"/>
        </w:rPr>
        <w:t> </w:t>
      </w:r>
      <w:r>
        <w:rPr/>
        <w:t>with</w:t>
      </w:r>
      <w:r>
        <w:rPr>
          <w:spacing w:val="-3"/>
        </w:rPr>
        <w:t> </w:t>
      </w:r>
      <w:r>
        <w:rPr/>
        <w:t>the</w:t>
      </w:r>
      <w:r>
        <w:rPr>
          <w:spacing w:val="-3"/>
        </w:rPr>
        <w:t> </w:t>
      </w:r>
      <w:r>
        <w:rPr/>
        <w:t>Center’s advisory board and staff. This document is due to the Office of Research and Development by the end of the Fall semester of the review year. The document shall contain the following:</w:t>
      </w:r>
    </w:p>
    <w:p>
      <w:pPr>
        <w:pStyle w:val="BodyText"/>
      </w:pPr>
    </w:p>
    <w:p>
      <w:pPr>
        <w:pStyle w:val="ListParagraph"/>
        <w:numPr>
          <w:ilvl w:val="0"/>
          <w:numId w:val="1"/>
        </w:numPr>
        <w:tabs>
          <w:tab w:pos="340" w:val="left" w:leader="none"/>
        </w:tabs>
        <w:spacing w:line="240" w:lineRule="auto" w:before="0" w:after="0"/>
        <w:ind w:left="100" w:right="345" w:firstLine="0"/>
        <w:jc w:val="left"/>
        <w:rPr>
          <w:sz w:val="24"/>
        </w:rPr>
      </w:pPr>
      <w:r>
        <w:rPr>
          <w:sz w:val="24"/>
        </w:rPr>
        <w:t>The</w:t>
      </w:r>
      <w:r>
        <w:rPr>
          <w:spacing w:val="-4"/>
          <w:sz w:val="24"/>
        </w:rPr>
        <w:t> </w:t>
      </w:r>
      <w:r>
        <w:rPr>
          <w:sz w:val="24"/>
        </w:rPr>
        <w:t>mission</w:t>
      </w:r>
      <w:r>
        <w:rPr>
          <w:spacing w:val="-3"/>
          <w:sz w:val="24"/>
        </w:rPr>
        <w:t> </w:t>
      </w:r>
      <w:r>
        <w:rPr>
          <w:sz w:val="24"/>
        </w:rPr>
        <w:t>statement</w:t>
      </w:r>
      <w:r>
        <w:rPr>
          <w:spacing w:val="-3"/>
          <w:sz w:val="24"/>
        </w:rPr>
        <w:t> </w:t>
      </w:r>
      <w:r>
        <w:rPr>
          <w:sz w:val="24"/>
        </w:rPr>
        <w:t>of</w:t>
      </w:r>
      <w:r>
        <w:rPr>
          <w:spacing w:val="-3"/>
          <w:sz w:val="24"/>
        </w:rPr>
        <w:t> </w:t>
      </w:r>
      <w:r>
        <w:rPr>
          <w:sz w:val="24"/>
        </w:rPr>
        <w:t>the</w:t>
      </w:r>
      <w:r>
        <w:rPr>
          <w:spacing w:val="-4"/>
          <w:sz w:val="24"/>
        </w:rPr>
        <w:t> </w:t>
      </w:r>
      <w:r>
        <w:rPr>
          <w:sz w:val="24"/>
        </w:rPr>
        <w:t>Center,</w:t>
      </w:r>
      <w:r>
        <w:rPr>
          <w:spacing w:val="-3"/>
          <w:sz w:val="24"/>
        </w:rPr>
        <w:t> </w:t>
      </w:r>
      <w:r>
        <w:rPr>
          <w:sz w:val="24"/>
        </w:rPr>
        <w:t>as</w:t>
      </w:r>
      <w:r>
        <w:rPr>
          <w:spacing w:val="-1"/>
          <w:sz w:val="24"/>
        </w:rPr>
        <w:t> </w:t>
      </w:r>
      <w:r>
        <w:rPr>
          <w:sz w:val="24"/>
        </w:rPr>
        <w:t>well</w:t>
      </w:r>
      <w:r>
        <w:rPr>
          <w:spacing w:val="-3"/>
          <w:sz w:val="24"/>
        </w:rPr>
        <w:t> </w:t>
      </w:r>
      <w:r>
        <w:rPr>
          <w:sz w:val="24"/>
        </w:rPr>
        <w:t>as</w:t>
      </w:r>
      <w:r>
        <w:rPr>
          <w:spacing w:val="-1"/>
          <w:sz w:val="24"/>
        </w:rPr>
        <w:t> </w:t>
      </w:r>
      <w:r>
        <w:rPr>
          <w:sz w:val="24"/>
        </w:rPr>
        <w:t>a</w:t>
      </w:r>
      <w:r>
        <w:rPr>
          <w:spacing w:val="-4"/>
          <w:sz w:val="24"/>
        </w:rPr>
        <w:t> </w:t>
      </w:r>
      <w:r>
        <w:rPr>
          <w:sz w:val="24"/>
        </w:rPr>
        <w:t>statement</w:t>
      </w:r>
      <w:r>
        <w:rPr>
          <w:spacing w:val="-3"/>
          <w:sz w:val="24"/>
        </w:rPr>
        <w:t> </w:t>
      </w:r>
      <w:r>
        <w:rPr>
          <w:sz w:val="24"/>
        </w:rPr>
        <w:t>of</w:t>
      </w:r>
      <w:r>
        <w:rPr>
          <w:spacing w:val="-4"/>
          <w:sz w:val="24"/>
        </w:rPr>
        <w:t> </w:t>
      </w:r>
      <w:r>
        <w:rPr>
          <w:sz w:val="24"/>
        </w:rPr>
        <w:t>how</w:t>
      </w:r>
      <w:r>
        <w:rPr>
          <w:spacing w:val="-3"/>
          <w:sz w:val="24"/>
        </w:rPr>
        <w:t> </w:t>
      </w:r>
      <w:r>
        <w:rPr>
          <w:sz w:val="24"/>
        </w:rPr>
        <w:t>it</w:t>
      </w:r>
      <w:r>
        <w:rPr>
          <w:spacing w:val="-3"/>
          <w:sz w:val="24"/>
        </w:rPr>
        <w:t> </w:t>
      </w:r>
      <w:r>
        <w:rPr>
          <w:sz w:val="24"/>
        </w:rPr>
        <w:t>supports</w:t>
      </w:r>
      <w:r>
        <w:rPr>
          <w:spacing w:val="-3"/>
          <w:sz w:val="24"/>
        </w:rPr>
        <w:t> </w:t>
      </w:r>
      <w:r>
        <w:rPr>
          <w:sz w:val="24"/>
        </w:rPr>
        <w:t>the</w:t>
      </w:r>
      <w:r>
        <w:rPr>
          <w:spacing w:val="-3"/>
          <w:sz w:val="24"/>
        </w:rPr>
        <w:t> </w:t>
      </w:r>
      <w:r>
        <w:rPr>
          <w:sz w:val="24"/>
        </w:rPr>
        <w:t>mission</w:t>
      </w:r>
      <w:r>
        <w:rPr>
          <w:spacing w:val="-3"/>
          <w:sz w:val="24"/>
        </w:rPr>
        <w:t> </w:t>
      </w:r>
      <w:r>
        <w:rPr>
          <w:sz w:val="24"/>
        </w:rPr>
        <w:t>of the School of Education.</w:t>
      </w:r>
    </w:p>
    <w:p>
      <w:pPr>
        <w:pStyle w:val="BodyText"/>
        <w:spacing w:before="1"/>
      </w:pPr>
    </w:p>
    <w:p>
      <w:pPr>
        <w:pStyle w:val="ListParagraph"/>
        <w:numPr>
          <w:ilvl w:val="0"/>
          <w:numId w:val="1"/>
        </w:numPr>
        <w:tabs>
          <w:tab w:pos="340" w:val="left" w:leader="none"/>
        </w:tabs>
        <w:spacing w:line="240" w:lineRule="auto" w:before="0" w:after="0"/>
        <w:ind w:left="100" w:right="220" w:firstLine="0"/>
        <w:jc w:val="left"/>
        <w:rPr>
          <w:sz w:val="24"/>
        </w:rPr>
      </w:pPr>
      <w:r>
        <w:rPr>
          <w:sz w:val="24"/>
        </w:rPr>
        <w:t>Comments on the strengths and weaknesses of the Center that emerge from an analysis of feedback from faculty, staff and constituents. The feedback will provide some indication of the strengths/weaknesses these stakeholders see in working with the Center. The Center staff will provide</w:t>
      </w:r>
      <w:r>
        <w:rPr>
          <w:spacing w:val="-1"/>
          <w:sz w:val="24"/>
        </w:rPr>
        <w:t> </w:t>
      </w:r>
      <w:r>
        <w:rPr>
          <w:sz w:val="24"/>
        </w:rPr>
        <w:t>the names and contact information for the constituents outside the School of Education. The information will be gathered by</w:t>
      </w:r>
      <w:r>
        <w:rPr>
          <w:spacing w:val="-1"/>
          <w:sz w:val="24"/>
        </w:rPr>
        <w:t> </w:t>
      </w:r>
      <w:r>
        <w:rPr>
          <w:sz w:val="24"/>
        </w:rPr>
        <w:t>the Office of Research and Development and forwarded to the</w:t>
      </w:r>
      <w:r>
        <w:rPr>
          <w:spacing w:val="-2"/>
          <w:sz w:val="24"/>
        </w:rPr>
        <w:t> </w:t>
      </w:r>
      <w:r>
        <w:rPr>
          <w:sz w:val="24"/>
        </w:rPr>
        <w:t>Center</w:t>
      </w:r>
      <w:r>
        <w:rPr>
          <w:spacing w:val="-4"/>
          <w:sz w:val="24"/>
        </w:rPr>
        <w:t> </w:t>
      </w:r>
      <w:r>
        <w:rPr>
          <w:sz w:val="24"/>
        </w:rPr>
        <w:t>by</w:t>
      </w:r>
      <w:r>
        <w:rPr>
          <w:spacing w:val="-7"/>
          <w:sz w:val="24"/>
        </w:rPr>
        <w:t> </w:t>
      </w:r>
      <w:r>
        <w:rPr>
          <w:sz w:val="24"/>
        </w:rPr>
        <w:t>the</w:t>
      </w:r>
      <w:r>
        <w:rPr>
          <w:spacing w:val="-2"/>
          <w:sz w:val="24"/>
        </w:rPr>
        <w:t> </w:t>
      </w:r>
      <w:r>
        <w:rPr>
          <w:sz w:val="24"/>
        </w:rPr>
        <w:t>end</w:t>
      </w:r>
      <w:r>
        <w:rPr>
          <w:spacing w:val="-2"/>
          <w:sz w:val="24"/>
        </w:rPr>
        <w:t> </w:t>
      </w:r>
      <w:r>
        <w:rPr>
          <w:sz w:val="24"/>
        </w:rPr>
        <w:t>of</w:t>
      </w:r>
      <w:r>
        <w:rPr>
          <w:spacing w:val="-2"/>
          <w:sz w:val="24"/>
        </w:rPr>
        <w:t> </w:t>
      </w:r>
      <w:r>
        <w:rPr>
          <w:sz w:val="24"/>
        </w:rPr>
        <w:t>the</w:t>
      </w:r>
      <w:r>
        <w:rPr>
          <w:spacing w:val="-4"/>
          <w:sz w:val="24"/>
        </w:rPr>
        <w:t> </w:t>
      </w:r>
      <w:r>
        <w:rPr>
          <w:sz w:val="24"/>
        </w:rPr>
        <w:t>first</w:t>
      </w:r>
      <w:r>
        <w:rPr>
          <w:spacing w:val="-2"/>
          <w:sz w:val="24"/>
        </w:rPr>
        <w:t> </w:t>
      </w:r>
      <w:r>
        <w:rPr>
          <w:sz w:val="24"/>
        </w:rPr>
        <w:t>month</w:t>
      </w:r>
      <w:r>
        <w:rPr>
          <w:spacing w:val="-2"/>
          <w:sz w:val="24"/>
        </w:rPr>
        <w:t> </w:t>
      </w:r>
      <w:r>
        <w:rPr>
          <w:sz w:val="24"/>
        </w:rPr>
        <w:t>of</w:t>
      </w:r>
      <w:r>
        <w:rPr>
          <w:spacing w:val="-2"/>
          <w:sz w:val="24"/>
        </w:rPr>
        <w:t> </w:t>
      </w:r>
      <w:r>
        <w:rPr>
          <w:sz w:val="24"/>
        </w:rPr>
        <w:t>the</w:t>
      </w:r>
      <w:r>
        <w:rPr>
          <w:spacing w:val="-3"/>
          <w:sz w:val="24"/>
        </w:rPr>
        <w:t> </w:t>
      </w:r>
      <w:r>
        <w:rPr>
          <w:sz w:val="24"/>
        </w:rPr>
        <w:t>Fall</w:t>
      </w:r>
      <w:r>
        <w:rPr>
          <w:spacing w:val="-2"/>
          <w:sz w:val="24"/>
        </w:rPr>
        <w:t> </w:t>
      </w:r>
      <w:r>
        <w:rPr>
          <w:sz w:val="24"/>
        </w:rPr>
        <w:t>semester of</w:t>
      </w:r>
      <w:r>
        <w:rPr>
          <w:spacing w:val="-2"/>
          <w:sz w:val="24"/>
        </w:rPr>
        <w:t> </w:t>
      </w:r>
      <w:r>
        <w:rPr>
          <w:sz w:val="24"/>
        </w:rPr>
        <w:t>the</w:t>
      </w:r>
      <w:r>
        <w:rPr>
          <w:spacing w:val="-1"/>
          <w:sz w:val="24"/>
        </w:rPr>
        <w:t> </w:t>
      </w:r>
      <w:r>
        <w:rPr>
          <w:sz w:val="24"/>
        </w:rPr>
        <w:t>review year.</w:t>
      </w:r>
      <w:r>
        <w:rPr>
          <w:spacing w:val="-2"/>
          <w:sz w:val="24"/>
        </w:rPr>
        <w:t> </w:t>
      </w:r>
      <w:r>
        <w:rPr>
          <w:sz w:val="24"/>
        </w:rPr>
        <w:t>The</w:t>
      </w:r>
      <w:r>
        <w:rPr>
          <w:spacing w:val="-3"/>
          <w:sz w:val="24"/>
        </w:rPr>
        <w:t> </w:t>
      </w:r>
      <w:r>
        <w:rPr>
          <w:sz w:val="24"/>
        </w:rPr>
        <w:t>raw</w:t>
      </w:r>
      <w:r>
        <w:rPr>
          <w:spacing w:val="-2"/>
          <w:sz w:val="24"/>
        </w:rPr>
        <w:t> </w:t>
      </w:r>
      <w:r>
        <w:rPr>
          <w:sz w:val="24"/>
        </w:rPr>
        <w:t>data</w:t>
      </w:r>
      <w:r>
        <w:rPr>
          <w:spacing w:val="-3"/>
          <w:sz w:val="24"/>
        </w:rPr>
        <w:t> </w:t>
      </w:r>
      <w:r>
        <w:rPr>
          <w:sz w:val="24"/>
        </w:rPr>
        <w:t>are to be included in the appendix of the self-study document.</w:t>
      </w:r>
    </w:p>
    <w:p>
      <w:pPr>
        <w:pStyle w:val="BodyText"/>
      </w:pPr>
    </w:p>
    <w:p>
      <w:pPr>
        <w:pStyle w:val="ListParagraph"/>
        <w:numPr>
          <w:ilvl w:val="0"/>
          <w:numId w:val="1"/>
        </w:numPr>
        <w:tabs>
          <w:tab w:pos="340" w:val="left" w:leader="none"/>
        </w:tabs>
        <w:spacing w:line="240" w:lineRule="auto" w:before="0" w:after="0"/>
        <w:ind w:left="100" w:right="184" w:firstLine="0"/>
        <w:jc w:val="left"/>
        <w:rPr>
          <w:sz w:val="24"/>
        </w:rPr>
      </w:pPr>
      <w:r>
        <w:rPr>
          <w:sz w:val="24"/>
        </w:rPr>
        <w:t>Comments on what trends or issues appear in regards to the level of external funding and faculty involvement. These comments are to be reflective of a data table that shows the number of proposals, number of faculty submitting proposals through the Center, number of awards, proposal dollars, award dollars, indirect award dollars, % of indirect of awards and IC as a % of expenditures</w:t>
      </w:r>
      <w:r>
        <w:rPr>
          <w:spacing w:val="-3"/>
          <w:sz w:val="24"/>
        </w:rPr>
        <w:t> </w:t>
      </w:r>
      <w:r>
        <w:rPr>
          <w:sz w:val="24"/>
        </w:rPr>
        <w:t>for</w:t>
      </w:r>
      <w:r>
        <w:rPr>
          <w:spacing w:val="-5"/>
          <w:sz w:val="24"/>
        </w:rPr>
        <w:t> </w:t>
      </w:r>
      <w:r>
        <w:rPr>
          <w:sz w:val="24"/>
        </w:rPr>
        <w:t>the</w:t>
      </w:r>
      <w:r>
        <w:rPr>
          <w:spacing w:val="-3"/>
          <w:sz w:val="24"/>
        </w:rPr>
        <w:t> </w:t>
      </w:r>
      <w:r>
        <w:rPr>
          <w:sz w:val="24"/>
        </w:rPr>
        <w:t>last seven</w:t>
      </w:r>
      <w:r>
        <w:rPr>
          <w:spacing w:val="-3"/>
          <w:sz w:val="24"/>
        </w:rPr>
        <w:t> </w:t>
      </w:r>
      <w:r>
        <w:rPr>
          <w:sz w:val="24"/>
        </w:rPr>
        <w:t>fiscal years.</w:t>
      </w:r>
      <w:r>
        <w:rPr>
          <w:spacing w:val="-3"/>
          <w:sz w:val="24"/>
        </w:rPr>
        <w:t> </w:t>
      </w:r>
      <w:r>
        <w:rPr>
          <w:sz w:val="24"/>
        </w:rPr>
        <w:t>This</w:t>
      </w:r>
      <w:r>
        <w:rPr>
          <w:spacing w:val="-3"/>
          <w:sz w:val="24"/>
        </w:rPr>
        <w:t> </w:t>
      </w:r>
      <w:r>
        <w:rPr>
          <w:sz w:val="24"/>
        </w:rPr>
        <w:t>table</w:t>
      </w:r>
      <w:r>
        <w:rPr>
          <w:spacing w:val="-3"/>
          <w:sz w:val="24"/>
        </w:rPr>
        <w:t> </w:t>
      </w:r>
      <w:r>
        <w:rPr>
          <w:sz w:val="24"/>
        </w:rPr>
        <w:t>will</w:t>
      </w:r>
      <w:r>
        <w:rPr>
          <w:spacing w:val="-3"/>
          <w:sz w:val="24"/>
        </w:rPr>
        <w:t> </w:t>
      </w:r>
      <w:r>
        <w:rPr>
          <w:sz w:val="24"/>
        </w:rPr>
        <w:t>be</w:t>
      </w:r>
      <w:r>
        <w:rPr>
          <w:spacing w:val="-3"/>
          <w:sz w:val="24"/>
        </w:rPr>
        <w:t> </w:t>
      </w:r>
      <w:r>
        <w:rPr>
          <w:sz w:val="24"/>
        </w:rPr>
        <w:t>provided</w:t>
      </w:r>
      <w:r>
        <w:rPr>
          <w:spacing w:val="-3"/>
          <w:sz w:val="24"/>
        </w:rPr>
        <w:t> </w:t>
      </w:r>
      <w:r>
        <w:rPr>
          <w:sz w:val="24"/>
        </w:rPr>
        <w:t>by</w:t>
      </w:r>
      <w:r>
        <w:rPr>
          <w:spacing w:val="-6"/>
          <w:sz w:val="24"/>
        </w:rPr>
        <w:t> </w:t>
      </w:r>
      <w:r>
        <w:rPr>
          <w:sz w:val="24"/>
        </w:rPr>
        <w:t>the</w:t>
      </w:r>
      <w:r>
        <w:rPr>
          <w:spacing w:val="-3"/>
          <w:sz w:val="24"/>
        </w:rPr>
        <w:t> </w:t>
      </w:r>
      <w:r>
        <w:rPr>
          <w:sz w:val="24"/>
        </w:rPr>
        <w:t>Office</w:t>
      </w:r>
      <w:r>
        <w:rPr>
          <w:spacing w:val="-4"/>
          <w:sz w:val="24"/>
        </w:rPr>
        <w:t> </w:t>
      </w:r>
      <w:r>
        <w:rPr>
          <w:sz w:val="24"/>
        </w:rPr>
        <w:t>of</w:t>
      </w:r>
      <w:r>
        <w:rPr>
          <w:spacing w:val="-3"/>
          <w:sz w:val="24"/>
        </w:rPr>
        <w:t> </w:t>
      </w:r>
      <w:r>
        <w:rPr>
          <w:sz w:val="24"/>
        </w:rPr>
        <w:t>Research and</w:t>
      </w:r>
      <w:r>
        <w:rPr>
          <w:spacing w:val="-1"/>
          <w:sz w:val="24"/>
        </w:rPr>
        <w:t> </w:t>
      </w:r>
      <w:r>
        <w:rPr>
          <w:sz w:val="24"/>
        </w:rPr>
        <w:t>Development</w:t>
      </w:r>
      <w:r>
        <w:rPr>
          <w:spacing w:val="-1"/>
          <w:sz w:val="24"/>
        </w:rPr>
        <w:t> </w:t>
      </w:r>
      <w:r>
        <w:rPr>
          <w:sz w:val="24"/>
        </w:rPr>
        <w:t>by</w:t>
      </w:r>
      <w:r>
        <w:rPr>
          <w:spacing w:val="-6"/>
          <w:sz w:val="24"/>
        </w:rPr>
        <w:t> </w:t>
      </w:r>
      <w:r>
        <w:rPr>
          <w:sz w:val="24"/>
        </w:rPr>
        <w:t>the end</w:t>
      </w:r>
      <w:r>
        <w:rPr>
          <w:spacing w:val="-1"/>
          <w:sz w:val="24"/>
        </w:rPr>
        <w:t> </w:t>
      </w:r>
      <w:r>
        <w:rPr>
          <w:sz w:val="24"/>
        </w:rPr>
        <w:t>of</w:t>
      </w:r>
      <w:r>
        <w:rPr>
          <w:spacing w:val="-2"/>
          <w:sz w:val="24"/>
        </w:rPr>
        <w:t> </w:t>
      </w:r>
      <w:r>
        <w:rPr>
          <w:sz w:val="24"/>
        </w:rPr>
        <w:t>the</w:t>
      </w:r>
      <w:r>
        <w:rPr>
          <w:spacing w:val="-1"/>
          <w:sz w:val="24"/>
        </w:rPr>
        <w:t> </w:t>
      </w:r>
      <w:r>
        <w:rPr>
          <w:sz w:val="24"/>
        </w:rPr>
        <w:t>first</w:t>
      </w:r>
      <w:r>
        <w:rPr>
          <w:spacing w:val="-1"/>
          <w:sz w:val="24"/>
        </w:rPr>
        <w:t> </w:t>
      </w:r>
      <w:r>
        <w:rPr>
          <w:sz w:val="24"/>
        </w:rPr>
        <w:t>month</w:t>
      </w:r>
      <w:r>
        <w:rPr>
          <w:spacing w:val="-1"/>
          <w:sz w:val="24"/>
        </w:rPr>
        <w:t> </w:t>
      </w:r>
      <w:r>
        <w:rPr>
          <w:sz w:val="24"/>
        </w:rPr>
        <w:t>of the</w:t>
      </w:r>
      <w:r>
        <w:rPr>
          <w:spacing w:val="-1"/>
          <w:sz w:val="24"/>
        </w:rPr>
        <w:t> </w:t>
      </w:r>
      <w:r>
        <w:rPr>
          <w:sz w:val="24"/>
        </w:rPr>
        <w:t>Fall</w:t>
      </w:r>
      <w:r>
        <w:rPr>
          <w:spacing w:val="-1"/>
          <w:sz w:val="24"/>
        </w:rPr>
        <w:t> </w:t>
      </w:r>
      <w:r>
        <w:rPr>
          <w:sz w:val="24"/>
        </w:rPr>
        <w:t>semester</w:t>
      </w:r>
      <w:r>
        <w:rPr>
          <w:spacing w:val="-1"/>
          <w:sz w:val="24"/>
        </w:rPr>
        <w:t> </w:t>
      </w:r>
      <w:r>
        <w:rPr>
          <w:sz w:val="24"/>
        </w:rPr>
        <w:t>of</w:t>
      </w:r>
      <w:r>
        <w:rPr>
          <w:spacing w:val="-3"/>
          <w:sz w:val="24"/>
        </w:rPr>
        <w:t> </w:t>
      </w:r>
      <w:r>
        <w:rPr>
          <w:sz w:val="24"/>
        </w:rPr>
        <w:t>the review year. It</w:t>
      </w:r>
      <w:r>
        <w:rPr>
          <w:spacing w:val="-1"/>
          <w:sz w:val="24"/>
        </w:rPr>
        <w:t> </w:t>
      </w:r>
      <w:r>
        <w:rPr>
          <w:sz w:val="24"/>
        </w:rPr>
        <w:t>is</w:t>
      </w:r>
      <w:r>
        <w:rPr>
          <w:spacing w:val="-1"/>
          <w:sz w:val="24"/>
        </w:rPr>
        <w:t> </w:t>
      </w:r>
      <w:r>
        <w:rPr>
          <w:sz w:val="24"/>
        </w:rPr>
        <w:t>to</w:t>
      </w:r>
      <w:r>
        <w:rPr>
          <w:spacing w:val="-1"/>
          <w:sz w:val="24"/>
        </w:rPr>
        <w:t> </w:t>
      </w:r>
      <w:r>
        <w:rPr>
          <w:sz w:val="24"/>
        </w:rPr>
        <w:t>be included in the self-study document.</w:t>
      </w:r>
    </w:p>
    <w:p>
      <w:pPr>
        <w:spacing w:after="0" w:line="240" w:lineRule="auto"/>
        <w:jc w:val="left"/>
        <w:rPr>
          <w:sz w:val="24"/>
        </w:rPr>
        <w:sectPr>
          <w:headerReference w:type="default" r:id="rId5"/>
          <w:footerReference w:type="default" r:id="rId6"/>
          <w:type w:val="continuous"/>
          <w:pgSz w:w="12240" w:h="15840"/>
          <w:pgMar w:header="725" w:footer="1066" w:top="1340" w:bottom="1260" w:left="1340" w:right="1320"/>
          <w:pgNumType w:start="1"/>
        </w:sectPr>
      </w:pPr>
    </w:p>
    <w:p>
      <w:pPr>
        <w:pStyle w:val="ListParagraph"/>
        <w:numPr>
          <w:ilvl w:val="0"/>
          <w:numId w:val="1"/>
        </w:numPr>
        <w:tabs>
          <w:tab w:pos="340" w:val="left" w:leader="none"/>
        </w:tabs>
        <w:spacing w:line="240" w:lineRule="auto" w:before="80" w:after="0"/>
        <w:ind w:left="100" w:right="346" w:firstLine="0"/>
        <w:jc w:val="left"/>
        <w:rPr>
          <w:sz w:val="24"/>
        </w:rPr>
      </w:pPr>
      <w:r>
        <w:rPr>
          <w:sz w:val="24"/>
        </w:rPr>
        <w:t>A</w:t>
      </w:r>
      <w:r>
        <w:rPr>
          <w:spacing w:val="-4"/>
          <w:sz w:val="24"/>
        </w:rPr>
        <w:t> </w:t>
      </w:r>
      <w:r>
        <w:rPr>
          <w:sz w:val="24"/>
        </w:rPr>
        <w:t>description</w:t>
      </w:r>
      <w:r>
        <w:rPr>
          <w:spacing w:val="-4"/>
          <w:sz w:val="24"/>
        </w:rPr>
        <w:t> </w:t>
      </w:r>
      <w:r>
        <w:rPr>
          <w:sz w:val="24"/>
        </w:rPr>
        <w:t>of</w:t>
      </w:r>
      <w:r>
        <w:rPr>
          <w:spacing w:val="-4"/>
          <w:sz w:val="24"/>
        </w:rPr>
        <w:t> </w:t>
      </w:r>
      <w:r>
        <w:rPr>
          <w:sz w:val="24"/>
        </w:rPr>
        <w:t>the</w:t>
      </w:r>
      <w:r>
        <w:rPr>
          <w:spacing w:val="-4"/>
          <w:sz w:val="24"/>
        </w:rPr>
        <w:t> </w:t>
      </w:r>
      <w:r>
        <w:rPr>
          <w:sz w:val="24"/>
        </w:rPr>
        <w:t>Center’s</w:t>
      </w:r>
      <w:r>
        <w:rPr>
          <w:spacing w:val="-4"/>
          <w:sz w:val="24"/>
        </w:rPr>
        <w:t> </w:t>
      </w:r>
      <w:r>
        <w:rPr>
          <w:sz w:val="24"/>
        </w:rPr>
        <w:t>major</w:t>
      </w:r>
      <w:r>
        <w:rPr>
          <w:spacing w:val="-3"/>
          <w:sz w:val="24"/>
        </w:rPr>
        <w:t> </w:t>
      </w:r>
      <w:r>
        <w:rPr>
          <w:sz w:val="24"/>
        </w:rPr>
        <w:t>accomplishments</w:t>
      </w:r>
      <w:r>
        <w:rPr>
          <w:spacing w:val="-4"/>
          <w:sz w:val="24"/>
        </w:rPr>
        <w:t> </w:t>
      </w:r>
      <w:r>
        <w:rPr>
          <w:sz w:val="24"/>
        </w:rPr>
        <w:t>and</w:t>
      </w:r>
      <w:r>
        <w:rPr>
          <w:spacing w:val="-3"/>
          <w:sz w:val="24"/>
        </w:rPr>
        <w:t> </w:t>
      </w:r>
      <w:r>
        <w:rPr>
          <w:sz w:val="24"/>
        </w:rPr>
        <w:t>challenges</w:t>
      </w:r>
      <w:r>
        <w:rPr>
          <w:spacing w:val="-4"/>
          <w:sz w:val="24"/>
        </w:rPr>
        <w:t> </w:t>
      </w:r>
      <w:r>
        <w:rPr>
          <w:sz w:val="24"/>
        </w:rPr>
        <w:t>in</w:t>
      </w:r>
      <w:r>
        <w:rPr>
          <w:spacing w:val="-4"/>
          <w:sz w:val="24"/>
        </w:rPr>
        <w:t> </w:t>
      </w:r>
      <w:r>
        <w:rPr>
          <w:sz w:val="24"/>
        </w:rPr>
        <w:t>the</w:t>
      </w:r>
      <w:r>
        <w:rPr>
          <w:spacing w:val="-4"/>
          <w:sz w:val="24"/>
        </w:rPr>
        <w:t> </w:t>
      </w:r>
      <w:r>
        <w:rPr>
          <w:sz w:val="24"/>
        </w:rPr>
        <w:t>past</w:t>
      </w:r>
      <w:r>
        <w:rPr>
          <w:spacing w:val="-3"/>
          <w:sz w:val="24"/>
        </w:rPr>
        <w:t> </w:t>
      </w:r>
      <w:r>
        <w:rPr>
          <w:sz w:val="24"/>
        </w:rPr>
        <w:t>seven years. This description is to provide an understanding of how these accomplishments and challenges are consistent with the mission statement of the center.</w:t>
      </w:r>
    </w:p>
    <w:p>
      <w:pPr>
        <w:pStyle w:val="BodyText"/>
      </w:pPr>
    </w:p>
    <w:p>
      <w:pPr>
        <w:pStyle w:val="ListParagraph"/>
        <w:numPr>
          <w:ilvl w:val="0"/>
          <w:numId w:val="1"/>
        </w:numPr>
        <w:tabs>
          <w:tab w:pos="340" w:val="left" w:leader="none"/>
        </w:tabs>
        <w:spacing w:line="240" w:lineRule="auto" w:before="0" w:after="0"/>
        <w:ind w:left="100" w:right="522" w:firstLine="0"/>
        <w:jc w:val="left"/>
        <w:rPr>
          <w:sz w:val="24"/>
        </w:rPr>
      </w:pPr>
      <w:r>
        <w:rPr>
          <w:sz w:val="24"/>
        </w:rPr>
        <w:t>Comments</w:t>
      </w:r>
      <w:r>
        <w:rPr>
          <w:spacing w:val="-4"/>
          <w:sz w:val="24"/>
        </w:rPr>
        <w:t> </w:t>
      </w:r>
      <w:r>
        <w:rPr>
          <w:sz w:val="24"/>
        </w:rPr>
        <w:t>on</w:t>
      </w:r>
      <w:r>
        <w:rPr>
          <w:spacing w:val="-4"/>
          <w:sz w:val="24"/>
        </w:rPr>
        <w:t> </w:t>
      </w:r>
      <w:r>
        <w:rPr>
          <w:sz w:val="24"/>
        </w:rPr>
        <w:t>the</w:t>
      </w:r>
      <w:r>
        <w:rPr>
          <w:spacing w:val="-4"/>
          <w:sz w:val="24"/>
        </w:rPr>
        <w:t> </w:t>
      </w:r>
      <w:r>
        <w:rPr>
          <w:sz w:val="24"/>
        </w:rPr>
        <w:t>Center’s</w:t>
      </w:r>
      <w:r>
        <w:rPr>
          <w:spacing w:val="-3"/>
          <w:sz w:val="24"/>
        </w:rPr>
        <w:t> </w:t>
      </w:r>
      <w:r>
        <w:rPr>
          <w:sz w:val="24"/>
        </w:rPr>
        <w:t>previous</w:t>
      </w:r>
      <w:r>
        <w:rPr>
          <w:spacing w:val="-4"/>
          <w:sz w:val="24"/>
        </w:rPr>
        <w:t> </w:t>
      </w:r>
      <w:r>
        <w:rPr>
          <w:sz w:val="24"/>
        </w:rPr>
        <w:t>strategic</w:t>
      </w:r>
      <w:r>
        <w:rPr>
          <w:spacing w:val="-4"/>
          <w:sz w:val="24"/>
        </w:rPr>
        <w:t> </w:t>
      </w:r>
      <w:r>
        <w:rPr>
          <w:sz w:val="24"/>
        </w:rPr>
        <w:t>plan</w:t>
      </w:r>
      <w:r>
        <w:rPr>
          <w:spacing w:val="-4"/>
          <w:sz w:val="24"/>
        </w:rPr>
        <w:t> </w:t>
      </w:r>
      <w:r>
        <w:rPr>
          <w:sz w:val="24"/>
        </w:rPr>
        <w:t>and</w:t>
      </w:r>
      <w:r>
        <w:rPr>
          <w:spacing w:val="-4"/>
          <w:sz w:val="24"/>
        </w:rPr>
        <w:t> </w:t>
      </w:r>
      <w:r>
        <w:rPr>
          <w:sz w:val="24"/>
        </w:rPr>
        <w:t>how</w:t>
      </w:r>
      <w:r>
        <w:rPr>
          <w:spacing w:val="-4"/>
          <w:sz w:val="24"/>
        </w:rPr>
        <w:t> </w:t>
      </w:r>
      <w:r>
        <w:rPr>
          <w:sz w:val="24"/>
        </w:rPr>
        <w:t>the</w:t>
      </w:r>
      <w:r>
        <w:rPr>
          <w:spacing w:val="-5"/>
          <w:sz w:val="24"/>
        </w:rPr>
        <w:t> </w:t>
      </w:r>
      <w:r>
        <w:rPr>
          <w:sz w:val="24"/>
        </w:rPr>
        <w:t>plan</w:t>
      </w:r>
      <w:r>
        <w:rPr>
          <w:spacing w:val="-3"/>
          <w:sz w:val="24"/>
        </w:rPr>
        <w:t> </w:t>
      </w:r>
      <w:r>
        <w:rPr>
          <w:sz w:val="24"/>
        </w:rPr>
        <w:t>was/was</w:t>
      </w:r>
      <w:r>
        <w:rPr>
          <w:spacing w:val="-4"/>
          <w:sz w:val="24"/>
        </w:rPr>
        <w:t> </w:t>
      </w:r>
      <w:r>
        <w:rPr>
          <w:sz w:val="24"/>
        </w:rPr>
        <w:t>not</w:t>
      </w:r>
      <w:r>
        <w:rPr>
          <w:spacing w:val="-4"/>
          <w:sz w:val="24"/>
        </w:rPr>
        <w:t> </w:t>
      </w:r>
      <w:r>
        <w:rPr>
          <w:sz w:val="24"/>
        </w:rPr>
        <w:t>followed. The comments are to be reflective of the previous components of the self-study (1-4).</w:t>
      </w:r>
    </w:p>
    <w:p>
      <w:pPr>
        <w:pStyle w:val="BodyText"/>
      </w:pPr>
    </w:p>
    <w:p>
      <w:pPr>
        <w:pStyle w:val="ListParagraph"/>
        <w:numPr>
          <w:ilvl w:val="0"/>
          <w:numId w:val="1"/>
        </w:numPr>
        <w:tabs>
          <w:tab w:pos="340" w:val="left" w:leader="none"/>
        </w:tabs>
        <w:spacing w:line="240" w:lineRule="auto" w:before="0" w:after="0"/>
        <w:ind w:left="100" w:right="280" w:firstLine="0"/>
        <w:jc w:val="left"/>
        <w:rPr>
          <w:sz w:val="24"/>
        </w:rPr>
      </w:pPr>
      <w:r>
        <w:rPr>
          <w:sz w:val="24"/>
        </w:rPr>
        <w:t>Concluding</w:t>
      </w:r>
      <w:r>
        <w:rPr>
          <w:spacing w:val="-6"/>
          <w:sz w:val="24"/>
        </w:rPr>
        <w:t> </w:t>
      </w:r>
      <w:r>
        <w:rPr>
          <w:sz w:val="24"/>
        </w:rPr>
        <w:t>comments</w:t>
      </w:r>
      <w:r>
        <w:rPr>
          <w:spacing w:val="-1"/>
          <w:sz w:val="24"/>
        </w:rPr>
        <w:t> </w:t>
      </w:r>
      <w:r>
        <w:rPr>
          <w:sz w:val="24"/>
        </w:rPr>
        <w:t>on</w:t>
      </w:r>
      <w:r>
        <w:rPr>
          <w:spacing w:val="-3"/>
          <w:sz w:val="24"/>
        </w:rPr>
        <w:t> </w:t>
      </w:r>
      <w:r>
        <w:rPr>
          <w:sz w:val="24"/>
        </w:rPr>
        <w:t>what</w:t>
      </w:r>
      <w:r>
        <w:rPr>
          <w:spacing w:val="-3"/>
          <w:sz w:val="24"/>
        </w:rPr>
        <w:t> </w:t>
      </w:r>
      <w:r>
        <w:rPr>
          <w:sz w:val="24"/>
        </w:rPr>
        <w:t>has</w:t>
      </w:r>
      <w:r>
        <w:rPr>
          <w:spacing w:val="-3"/>
          <w:sz w:val="24"/>
        </w:rPr>
        <w:t> </w:t>
      </w:r>
      <w:r>
        <w:rPr>
          <w:sz w:val="24"/>
        </w:rPr>
        <w:t>been</w:t>
      </w:r>
      <w:r>
        <w:rPr>
          <w:spacing w:val="-3"/>
          <w:sz w:val="24"/>
        </w:rPr>
        <w:t> </w:t>
      </w:r>
      <w:r>
        <w:rPr>
          <w:sz w:val="24"/>
        </w:rPr>
        <w:t>learned</w:t>
      </w:r>
      <w:r>
        <w:rPr>
          <w:spacing w:val="-3"/>
          <w:sz w:val="24"/>
        </w:rPr>
        <w:t> </w:t>
      </w:r>
      <w:r>
        <w:rPr>
          <w:sz w:val="24"/>
        </w:rPr>
        <w:t>about</w:t>
      </w:r>
      <w:r>
        <w:rPr>
          <w:spacing w:val="-3"/>
          <w:sz w:val="24"/>
        </w:rPr>
        <w:t> </w:t>
      </w:r>
      <w:r>
        <w:rPr>
          <w:sz w:val="24"/>
        </w:rPr>
        <w:t>the</w:t>
      </w:r>
      <w:r>
        <w:rPr>
          <w:spacing w:val="-4"/>
          <w:sz w:val="24"/>
        </w:rPr>
        <w:t> </w:t>
      </w:r>
      <w:r>
        <w:rPr>
          <w:sz w:val="24"/>
        </w:rPr>
        <w:t>Center’s</w:t>
      </w:r>
      <w:r>
        <w:rPr>
          <w:spacing w:val="-4"/>
          <w:sz w:val="24"/>
        </w:rPr>
        <w:t> </w:t>
      </w:r>
      <w:r>
        <w:rPr>
          <w:sz w:val="24"/>
        </w:rPr>
        <w:t>reach,</w:t>
      </w:r>
      <w:r>
        <w:rPr>
          <w:spacing w:val="-3"/>
          <w:sz w:val="24"/>
        </w:rPr>
        <w:t> </w:t>
      </w:r>
      <w:r>
        <w:rPr>
          <w:sz w:val="24"/>
        </w:rPr>
        <w:t>audience,</w:t>
      </w:r>
      <w:r>
        <w:rPr>
          <w:spacing w:val="-3"/>
          <w:sz w:val="24"/>
        </w:rPr>
        <w:t> </w:t>
      </w:r>
      <w:r>
        <w:rPr>
          <w:sz w:val="24"/>
        </w:rPr>
        <w:t>strategic plan, strengths, and opportunities for growth as a result of this self-study.</w:t>
      </w:r>
    </w:p>
    <w:p>
      <w:pPr>
        <w:pStyle w:val="BodyText"/>
      </w:pPr>
    </w:p>
    <w:p>
      <w:pPr>
        <w:spacing w:before="0"/>
        <w:ind w:left="100" w:right="0" w:firstLine="0"/>
        <w:jc w:val="left"/>
        <w:rPr>
          <w:i/>
          <w:sz w:val="24"/>
        </w:rPr>
      </w:pPr>
      <w:r>
        <w:rPr>
          <w:i/>
          <w:sz w:val="24"/>
          <w:u w:val="single"/>
        </w:rPr>
        <w:t>External</w:t>
      </w:r>
      <w:r>
        <w:rPr>
          <w:i/>
          <w:spacing w:val="-2"/>
          <w:sz w:val="24"/>
          <w:u w:val="single"/>
        </w:rPr>
        <w:t> Review</w:t>
      </w:r>
    </w:p>
    <w:p>
      <w:pPr>
        <w:pStyle w:val="BodyText"/>
        <w:spacing w:before="2"/>
        <w:rPr>
          <w:i/>
          <w:sz w:val="16"/>
        </w:rPr>
      </w:pPr>
    </w:p>
    <w:p>
      <w:pPr>
        <w:pStyle w:val="BodyText"/>
        <w:spacing w:before="90"/>
        <w:ind w:left="100" w:right="122"/>
      </w:pPr>
      <w:r>
        <w:rPr/>
        <w:t>An external review committee shall produce a report that will help the Center’s director,</w:t>
      </w:r>
      <w:r>
        <w:rPr>
          <w:spacing w:val="40"/>
        </w:rPr>
        <w:t> </w:t>
      </w:r>
      <w:r>
        <w:rPr/>
        <w:t>advisory</w:t>
      </w:r>
      <w:r>
        <w:rPr>
          <w:spacing w:val="-7"/>
        </w:rPr>
        <w:t> </w:t>
      </w:r>
      <w:r>
        <w:rPr/>
        <w:t>board,</w:t>
      </w:r>
      <w:r>
        <w:rPr>
          <w:spacing w:val="-2"/>
        </w:rPr>
        <w:t> </w:t>
      </w:r>
      <w:r>
        <w:rPr/>
        <w:t>staff,</w:t>
      </w:r>
      <w:r>
        <w:rPr>
          <w:spacing w:val="-2"/>
        </w:rPr>
        <w:t> </w:t>
      </w:r>
      <w:r>
        <w:rPr/>
        <w:t>as well</w:t>
      </w:r>
      <w:r>
        <w:rPr>
          <w:spacing w:val="-2"/>
        </w:rPr>
        <w:t> </w:t>
      </w:r>
      <w:r>
        <w:rPr/>
        <w:t>as</w:t>
      </w:r>
      <w:r>
        <w:rPr>
          <w:spacing w:val="-1"/>
        </w:rPr>
        <w:t> </w:t>
      </w:r>
      <w:r>
        <w:rPr/>
        <w:t>the</w:t>
      </w:r>
      <w:r>
        <w:rPr>
          <w:spacing w:val="-2"/>
        </w:rPr>
        <w:t> </w:t>
      </w:r>
      <w:r>
        <w:rPr/>
        <w:t>Dean</w:t>
      </w:r>
      <w:r>
        <w:rPr>
          <w:spacing w:val="-2"/>
        </w:rPr>
        <w:t> </w:t>
      </w:r>
      <w:r>
        <w:rPr/>
        <w:t>of</w:t>
      </w:r>
      <w:r>
        <w:rPr>
          <w:spacing w:val="-2"/>
        </w:rPr>
        <w:t> </w:t>
      </w:r>
      <w:r>
        <w:rPr/>
        <w:t>the</w:t>
      </w:r>
      <w:r>
        <w:rPr>
          <w:spacing w:val="-3"/>
        </w:rPr>
        <w:t> </w:t>
      </w:r>
      <w:r>
        <w:rPr/>
        <w:t>School</w:t>
      </w:r>
      <w:r>
        <w:rPr>
          <w:spacing w:val="-2"/>
        </w:rPr>
        <w:t> </w:t>
      </w:r>
      <w:r>
        <w:rPr/>
        <w:t>of</w:t>
      </w:r>
      <w:r>
        <w:rPr>
          <w:spacing w:val="-2"/>
        </w:rPr>
        <w:t> </w:t>
      </w:r>
      <w:r>
        <w:rPr/>
        <w:t>Education,</w:t>
      </w:r>
      <w:r>
        <w:rPr>
          <w:spacing w:val="-2"/>
        </w:rPr>
        <w:t> </w:t>
      </w:r>
      <w:r>
        <w:rPr/>
        <w:t>determine</w:t>
      </w:r>
      <w:r>
        <w:rPr>
          <w:spacing w:val="-3"/>
        </w:rPr>
        <w:t> </w:t>
      </w:r>
      <w:r>
        <w:rPr/>
        <w:t>the</w:t>
      </w:r>
      <w:r>
        <w:rPr>
          <w:spacing w:val="-2"/>
        </w:rPr>
        <w:t> </w:t>
      </w:r>
      <w:r>
        <w:rPr/>
        <w:t>strengths</w:t>
      </w:r>
      <w:r>
        <w:rPr>
          <w:spacing w:val="-2"/>
        </w:rPr>
        <w:t> </w:t>
      </w:r>
      <w:r>
        <w:rPr/>
        <w:t>and weaknesses of the Center and decide on future actions. This committee will complete a site visit prior</w:t>
      </w:r>
      <w:r>
        <w:rPr>
          <w:spacing w:val="-3"/>
        </w:rPr>
        <w:t> </w:t>
      </w:r>
      <w:r>
        <w:rPr/>
        <w:t>to</w:t>
      </w:r>
      <w:r>
        <w:rPr>
          <w:spacing w:val="-2"/>
        </w:rPr>
        <w:t> </w:t>
      </w:r>
      <w:r>
        <w:rPr/>
        <w:t>the</w:t>
      </w:r>
      <w:r>
        <w:rPr>
          <w:spacing w:val="-3"/>
        </w:rPr>
        <w:t> </w:t>
      </w:r>
      <w:r>
        <w:rPr/>
        <w:t>Spring</w:t>
      </w:r>
      <w:r>
        <w:rPr>
          <w:spacing w:val="-3"/>
        </w:rPr>
        <w:t> </w:t>
      </w:r>
      <w:r>
        <w:rPr/>
        <w:t>Break of</w:t>
      </w:r>
      <w:r>
        <w:rPr>
          <w:spacing w:val="-2"/>
        </w:rPr>
        <w:t> </w:t>
      </w:r>
      <w:r>
        <w:rPr/>
        <w:t>the</w:t>
      </w:r>
      <w:r>
        <w:rPr>
          <w:spacing w:val="-4"/>
        </w:rPr>
        <w:t> </w:t>
      </w:r>
      <w:r>
        <w:rPr/>
        <w:t>review year.</w:t>
      </w:r>
      <w:r>
        <w:rPr>
          <w:spacing w:val="-2"/>
        </w:rPr>
        <w:t> </w:t>
      </w:r>
      <w:r>
        <w:rPr/>
        <w:t>Thirty</w:t>
      </w:r>
      <w:r>
        <w:rPr>
          <w:spacing w:val="-5"/>
        </w:rPr>
        <w:t> </w:t>
      </w:r>
      <w:r>
        <w:rPr/>
        <w:t>days</w:t>
      </w:r>
      <w:r>
        <w:rPr>
          <w:spacing w:val="-2"/>
        </w:rPr>
        <w:t> </w:t>
      </w:r>
      <w:r>
        <w:rPr/>
        <w:t>prior</w:t>
      </w:r>
      <w:r>
        <w:rPr>
          <w:spacing w:val="-3"/>
        </w:rPr>
        <w:t> </w:t>
      </w:r>
      <w:r>
        <w:rPr/>
        <w:t>to</w:t>
      </w:r>
      <w:r>
        <w:rPr>
          <w:spacing w:val="-2"/>
        </w:rPr>
        <w:t> </w:t>
      </w:r>
      <w:r>
        <w:rPr/>
        <w:t>this</w:t>
      </w:r>
      <w:r>
        <w:rPr>
          <w:spacing w:val="-2"/>
        </w:rPr>
        <w:t> </w:t>
      </w:r>
      <w:r>
        <w:rPr/>
        <w:t>visit,</w:t>
      </w:r>
      <w:r>
        <w:rPr>
          <w:spacing w:val="-5"/>
        </w:rPr>
        <w:t> </w:t>
      </w:r>
      <w:r>
        <w:rPr/>
        <w:t>the</w:t>
      </w:r>
      <w:r>
        <w:rPr>
          <w:spacing w:val="-3"/>
        </w:rPr>
        <w:t> </w:t>
      </w:r>
      <w:r>
        <w:rPr/>
        <w:t>Office</w:t>
      </w:r>
      <w:r>
        <w:rPr>
          <w:spacing w:val="-3"/>
        </w:rPr>
        <w:t> </w:t>
      </w:r>
      <w:r>
        <w:rPr/>
        <w:t>of</w:t>
      </w:r>
      <w:r>
        <w:rPr>
          <w:spacing w:val="-2"/>
        </w:rPr>
        <w:t> </w:t>
      </w:r>
      <w:r>
        <w:rPr/>
        <w:t>Research and Development will send the external review committee and deans copies of the self-study </w:t>
      </w:r>
      <w:r>
        <w:rPr>
          <w:spacing w:val="-2"/>
        </w:rPr>
        <w:t>document.</w:t>
      </w:r>
    </w:p>
    <w:p>
      <w:pPr>
        <w:pStyle w:val="BodyText"/>
        <w:spacing w:before="1"/>
      </w:pPr>
    </w:p>
    <w:p>
      <w:pPr>
        <w:pStyle w:val="BodyText"/>
        <w:ind w:left="100" w:right="169"/>
      </w:pPr>
      <w:r>
        <w:rPr/>
        <w:t>The</w:t>
      </w:r>
      <w:r>
        <w:rPr>
          <w:spacing w:val="-1"/>
        </w:rPr>
        <w:t> </w:t>
      </w:r>
      <w:r>
        <w:rPr/>
        <w:t>review committee is made</w:t>
      </w:r>
      <w:r>
        <w:rPr>
          <w:spacing w:val="-1"/>
        </w:rPr>
        <w:t> </w:t>
      </w:r>
      <w:r>
        <w:rPr/>
        <w:t>up of three (3)</w:t>
      </w:r>
      <w:r>
        <w:rPr>
          <w:spacing w:val="-1"/>
        </w:rPr>
        <w:t> </w:t>
      </w:r>
      <w:r>
        <w:rPr/>
        <w:t>members. The</w:t>
      </w:r>
      <w:r>
        <w:rPr>
          <w:spacing w:val="-1"/>
        </w:rPr>
        <w:t> </w:t>
      </w:r>
      <w:r>
        <w:rPr/>
        <w:t>committee will include one faculty member from the School of Education that has submitted a proposal through the Center. The other</w:t>
      </w:r>
      <w:r>
        <w:rPr>
          <w:spacing w:val="-1"/>
        </w:rPr>
        <w:t> </w:t>
      </w:r>
      <w:r>
        <w:rPr/>
        <w:t>committee</w:t>
      </w:r>
      <w:r>
        <w:rPr>
          <w:spacing w:val="-1"/>
        </w:rPr>
        <w:t> </w:t>
      </w:r>
      <w:r>
        <w:rPr/>
        <w:t>members will be faculty</w:t>
      </w:r>
      <w:r>
        <w:rPr>
          <w:spacing w:val="-4"/>
        </w:rPr>
        <w:t> </w:t>
      </w:r>
      <w:r>
        <w:rPr/>
        <w:t>or administrators from other</w:t>
      </w:r>
      <w:r>
        <w:rPr>
          <w:spacing w:val="-1"/>
        </w:rPr>
        <w:t> </w:t>
      </w:r>
      <w:r>
        <w:rPr/>
        <w:t>universities/organizations that are familiar with the Center. The stipends, travel and lodging costs associated with having the</w:t>
      </w:r>
      <w:r>
        <w:rPr>
          <w:spacing w:val="-3"/>
        </w:rPr>
        <w:t> </w:t>
      </w:r>
      <w:r>
        <w:rPr/>
        <w:t>members</w:t>
      </w:r>
      <w:r>
        <w:rPr>
          <w:spacing w:val="-2"/>
        </w:rPr>
        <w:t> </w:t>
      </w:r>
      <w:r>
        <w:rPr/>
        <w:t>of</w:t>
      </w:r>
      <w:r>
        <w:rPr>
          <w:spacing w:val="-4"/>
        </w:rPr>
        <w:t> </w:t>
      </w:r>
      <w:r>
        <w:rPr/>
        <w:t>the</w:t>
      </w:r>
      <w:r>
        <w:rPr>
          <w:spacing w:val="-1"/>
        </w:rPr>
        <w:t> </w:t>
      </w:r>
      <w:r>
        <w:rPr/>
        <w:t>review</w:t>
      </w:r>
      <w:r>
        <w:rPr>
          <w:spacing w:val="-2"/>
        </w:rPr>
        <w:t> </w:t>
      </w:r>
      <w:r>
        <w:rPr/>
        <w:t>committee</w:t>
      </w:r>
      <w:r>
        <w:rPr>
          <w:spacing w:val="-4"/>
        </w:rPr>
        <w:t> </w:t>
      </w:r>
      <w:r>
        <w:rPr/>
        <w:t>visit the</w:t>
      </w:r>
      <w:r>
        <w:rPr>
          <w:spacing w:val="-2"/>
        </w:rPr>
        <w:t> </w:t>
      </w:r>
      <w:r>
        <w:rPr/>
        <w:t>campus</w:t>
      </w:r>
      <w:r>
        <w:rPr>
          <w:spacing w:val="-1"/>
        </w:rPr>
        <w:t> </w:t>
      </w:r>
      <w:r>
        <w:rPr/>
        <w:t>will</w:t>
      </w:r>
      <w:r>
        <w:rPr>
          <w:spacing w:val="-2"/>
        </w:rPr>
        <w:t> </w:t>
      </w:r>
      <w:r>
        <w:rPr/>
        <w:t>be</w:t>
      </w:r>
      <w:r>
        <w:rPr>
          <w:spacing w:val="-3"/>
        </w:rPr>
        <w:t> </w:t>
      </w:r>
      <w:r>
        <w:rPr/>
        <w:t>the</w:t>
      </w:r>
      <w:r>
        <w:rPr>
          <w:spacing w:val="-2"/>
        </w:rPr>
        <w:t> </w:t>
      </w:r>
      <w:r>
        <w:rPr/>
        <w:t>responsibility</w:t>
      </w:r>
      <w:r>
        <w:rPr>
          <w:spacing w:val="-10"/>
        </w:rPr>
        <w:t> </w:t>
      </w:r>
      <w:r>
        <w:rPr/>
        <w:t>of</w:t>
      </w:r>
      <w:r>
        <w:rPr>
          <w:spacing w:val="-2"/>
        </w:rPr>
        <w:t> </w:t>
      </w:r>
      <w:r>
        <w:rPr/>
        <w:t>the</w:t>
      </w:r>
      <w:r>
        <w:rPr>
          <w:spacing w:val="-3"/>
        </w:rPr>
        <w:t> </w:t>
      </w:r>
      <w:r>
        <w:rPr/>
        <w:t>School</w:t>
      </w:r>
      <w:r>
        <w:rPr>
          <w:spacing w:val="-2"/>
        </w:rPr>
        <w:t> </w:t>
      </w:r>
      <w:r>
        <w:rPr/>
        <w:t>of Education. The associated hospitality costs will be the responsibility of the Center.</w:t>
      </w:r>
    </w:p>
    <w:p>
      <w:pPr>
        <w:pStyle w:val="BodyText"/>
      </w:pPr>
    </w:p>
    <w:p>
      <w:pPr>
        <w:pStyle w:val="BodyText"/>
        <w:spacing w:before="1"/>
        <w:ind w:left="100"/>
      </w:pPr>
      <w:r>
        <w:rPr/>
        <w:t>The</w:t>
      </w:r>
      <w:r>
        <w:rPr>
          <w:spacing w:val="-4"/>
        </w:rPr>
        <w:t> </w:t>
      </w:r>
      <w:r>
        <w:rPr/>
        <w:t>composition</w:t>
      </w:r>
      <w:r>
        <w:rPr>
          <w:spacing w:val="-1"/>
        </w:rPr>
        <w:t> </w:t>
      </w:r>
      <w:r>
        <w:rPr/>
        <w:t>of</w:t>
      </w:r>
      <w:r>
        <w:rPr>
          <w:spacing w:val="-2"/>
        </w:rPr>
        <w:t> </w:t>
      </w:r>
      <w:r>
        <w:rPr/>
        <w:t>the</w:t>
      </w:r>
      <w:r>
        <w:rPr>
          <w:spacing w:val="-4"/>
        </w:rPr>
        <w:t> </w:t>
      </w:r>
      <w:r>
        <w:rPr/>
        <w:t>external</w:t>
      </w:r>
      <w:r>
        <w:rPr>
          <w:spacing w:val="-2"/>
        </w:rPr>
        <w:t> </w:t>
      </w:r>
      <w:r>
        <w:rPr/>
        <w:t>review</w:t>
      </w:r>
      <w:r>
        <w:rPr>
          <w:spacing w:val="-3"/>
        </w:rPr>
        <w:t> </w:t>
      </w:r>
      <w:r>
        <w:rPr/>
        <w:t>committee</w:t>
      </w:r>
      <w:r>
        <w:rPr>
          <w:spacing w:val="-2"/>
        </w:rPr>
        <w:t> </w:t>
      </w:r>
      <w:r>
        <w:rPr/>
        <w:t>will</w:t>
      </w:r>
      <w:r>
        <w:rPr>
          <w:spacing w:val="-2"/>
        </w:rPr>
        <w:t> </w:t>
      </w:r>
      <w:r>
        <w:rPr/>
        <w:t>be</w:t>
      </w:r>
      <w:r>
        <w:rPr>
          <w:spacing w:val="-2"/>
        </w:rPr>
        <w:t> </w:t>
      </w:r>
      <w:r>
        <w:rPr/>
        <w:t>made</w:t>
      </w:r>
      <w:r>
        <w:rPr>
          <w:spacing w:val="-3"/>
        </w:rPr>
        <w:t> </w:t>
      </w:r>
      <w:r>
        <w:rPr/>
        <w:t>by</w:t>
      </w:r>
      <w:r>
        <w:rPr>
          <w:spacing w:val="-7"/>
        </w:rPr>
        <w:t> </w:t>
      </w:r>
      <w:r>
        <w:rPr/>
        <w:t>the</w:t>
      </w:r>
      <w:r>
        <w:rPr>
          <w:spacing w:val="-2"/>
        </w:rPr>
        <w:t> </w:t>
      </w:r>
      <w:r>
        <w:rPr/>
        <w:t>Dean</w:t>
      </w:r>
      <w:r>
        <w:rPr>
          <w:spacing w:val="-2"/>
        </w:rPr>
        <w:t> </w:t>
      </w:r>
      <w:r>
        <w:rPr/>
        <w:t>of</w:t>
      </w:r>
      <w:r>
        <w:rPr>
          <w:spacing w:val="-1"/>
        </w:rPr>
        <w:t> </w:t>
      </w:r>
      <w:r>
        <w:rPr/>
        <w:t>the</w:t>
      </w:r>
      <w:r>
        <w:rPr>
          <w:spacing w:val="-2"/>
        </w:rPr>
        <w:t> </w:t>
      </w:r>
      <w:r>
        <w:rPr/>
        <w:t>School</w:t>
      </w:r>
      <w:r>
        <w:rPr>
          <w:spacing w:val="-2"/>
        </w:rPr>
        <w:t> </w:t>
      </w:r>
      <w:r>
        <w:rPr/>
        <w:t>of Education based on recommendations of the Center Director.</w:t>
      </w:r>
    </w:p>
    <w:p>
      <w:pPr>
        <w:pStyle w:val="BodyText"/>
        <w:spacing w:before="11"/>
        <w:rPr>
          <w:sz w:val="23"/>
        </w:rPr>
      </w:pPr>
    </w:p>
    <w:p>
      <w:pPr>
        <w:pStyle w:val="BodyText"/>
        <w:ind w:left="100" w:right="127"/>
      </w:pPr>
      <w:r>
        <w:rPr/>
        <w:t>One of the three committee members will be designated the committee chair. Responsibilities of the chair of the review committee will include: (1) reading the self-study</w:t>
      </w:r>
      <w:r>
        <w:rPr>
          <w:spacing w:val="-1"/>
        </w:rPr>
        <w:t> </w:t>
      </w:r>
      <w:r>
        <w:rPr/>
        <w:t>report; (2) participating in</w:t>
      </w:r>
      <w:r>
        <w:rPr>
          <w:spacing w:val="-3"/>
        </w:rPr>
        <w:t> </w:t>
      </w:r>
      <w:r>
        <w:rPr/>
        <w:t>a</w:t>
      </w:r>
      <w:r>
        <w:rPr>
          <w:spacing w:val="-4"/>
        </w:rPr>
        <w:t> </w:t>
      </w:r>
      <w:r>
        <w:rPr/>
        <w:t>two-day</w:t>
      </w:r>
      <w:r>
        <w:rPr>
          <w:spacing w:val="-8"/>
        </w:rPr>
        <w:t> </w:t>
      </w:r>
      <w:r>
        <w:rPr/>
        <w:t>site</w:t>
      </w:r>
      <w:r>
        <w:rPr>
          <w:spacing w:val="-4"/>
        </w:rPr>
        <w:t> </w:t>
      </w:r>
      <w:r>
        <w:rPr/>
        <w:t>visit</w:t>
      </w:r>
      <w:r>
        <w:rPr>
          <w:spacing w:val="-2"/>
        </w:rPr>
        <w:t> </w:t>
      </w:r>
      <w:r>
        <w:rPr/>
        <w:t>and</w:t>
      </w:r>
      <w:r>
        <w:rPr>
          <w:spacing w:val="-3"/>
        </w:rPr>
        <w:t> </w:t>
      </w:r>
      <w:r>
        <w:rPr/>
        <w:t>conducting</w:t>
      </w:r>
      <w:r>
        <w:rPr>
          <w:spacing w:val="-5"/>
        </w:rPr>
        <w:t> </w:t>
      </w:r>
      <w:r>
        <w:rPr/>
        <w:t>interviews</w:t>
      </w:r>
      <w:r>
        <w:rPr>
          <w:spacing w:val="-1"/>
        </w:rPr>
        <w:t> </w:t>
      </w:r>
      <w:r>
        <w:rPr/>
        <w:t>students,</w:t>
      </w:r>
      <w:r>
        <w:rPr>
          <w:spacing w:val="-3"/>
        </w:rPr>
        <w:t> </w:t>
      </w:r>
      <w:r>
        <w:rPr/>
        <w:t>faculty,</w:t>
      </w:r>
      <w:r>
        <w:rPr>
          <w:spacing w:val="-3"/>
        </w:rPr>
        <w:t> </w:t>
      </w:r>
      <w:r>
        <w:rPr/>
        <w:t>staff,</w:t>
      </w:r>
      <w:r>
        <w:rPr>
          <w:spacing w:val="-1"/>
        </w:rPr>
        <w:t> </w:t>
      </w:r>
      <w:r>
        <w:rPr/>
        <w:t>administrators,</w:t>
      </w:r>
      <w:r>
        <w:rPr>
          <w:spacing w:val="-3"/>
        </w:rPr>
        <w:t> </w:t>
      </w:r>
      <w:r>
        <w:rPr/>
        <w:t>and</w:t>
      </w:r>
      <w:r>
        <w:rPr>
          <w:spacing w:val="-3"/>
        </w:rPr>
        <w:t> </w:t>
      </w:r>
      <w:r>
        <w:rPr/>
        <w:t>other stakeholders</w:t>
      </w:r>
      <w:r>
        <w:rPr>
          <w:spacing w:val="-2"/>
        </w:rPr>
        <w:t> </w:t>
      </w:r>
      <w:r>
        <w:rPr/>
        <w:t>involved</w:t>
      </w:r>
      <w:r>
        <w:rPr>
          <w:spacing w:val="-2"/>
        </w:rPr>
        <w:t> </w:t>
      </w:r>
      <w:r>
        <w:rPr/>
        <w:t>with</w:t>
      </w:r>
      <w:r>
        <w:rPr>
          <w:spacing w:val="-1"/>
        </w:rPr>
        <w:t> </w:t>
      </w:r>
      <w:r>
        <w:rPr/>
        <w:t>the</w:t>
      </w:r>
      <w:r>
        <w:rPr>
          <w:spacing w:val="-2"/>
        </w:rPr>
        <w:t> </w:t>
      </w:r>
      <w:r>
        <w:rPr/>
        <w:t>Center;</w:t>
      </w:r>
      <w:r>
        <w:rPr>
          <w:spacing w:val="-2"/>
        </w:rPr>
        <w:t> </w:t>
      </w:r>
      <w:r>
        <w:rPr/>
        <w:t>and</w:t>
      </w:r>
      <w:r>
        <w:rPr>
          <w:spacing w:val="-2"/>
        </w:rPr>
        <w:t> </w:t>
      </w:r>
      <w:r>
        <w:rPr/>
        <w:t>(3)</w:t>
      </w:r>
      <w:r>
        <w:rPr>
          <w:spacing w:val="-1"/>
        </w:rPr>
        <w:t> </w:t>
      </w:r>
      <w:r>
        <w:rPr/>
        <w:t>writing</w:t>
      </w:r>
      <w:r>
        <w:rPr>
          <w:spacing w:val="-5"/>
        </w:rPr>
        <w:t> </w:t>
      </w:r>
      <w:r>
        <w:rPr/>
        <w:t>a</w:t>
      </w:r>
      <w:r>
        <w:rPr>
          <w:spacing w:val="-3"/>
        </w:rPr>
        <w:t> </w:t>
      </w:r>
      <w:r>
        <w:rPr/>
        <w:t>report</w:t>
      </w:r>
      <w:r>
        <w:rPr>
          <w:spacing w:val="-2"/>
        </w:rPr>
        <w:t> </w:t>
      </w:r>
      <w:r>
        <w:rPr/>
        <w:t>of</w:t>
      </w:r>
      <w:r>
        <w:rPr>
          <w:spacing w:val="-3"/>
        </w:rPr>
        <w:t> </w:t>
      </w:r>
      <w:r>
        <w:rPr/>
        <w:t>the</w:t>
      </w:r>
      <w:r>
        <w:rPr>
          <w:spacing w:val="-1"/>
        </w:rPr>
        <w:t> </w:t>
      </w:r>
      <w:r>
        <w:rPr/>
        <w:t>findings</w:t>
      </w:r>
      <w:r>
        <w:rPr>
          <w:spacing w:val="-2"/>
        </w:rPr>
        <w:t> </w:t>
      </w:r>
      <w:r>
        <w:rPr/>
        <w:t>of</w:t>
      </w:r>
      <w:r>
        <w:rPr>
          <w:spacing w:val="-2"/>
        </w:rPr>
        <w:t> </w:t>
      </w:r>
      <w:r>
        <w:rPr/>
        <w:t>the</w:t>
      </w:r>
      <w:r>
        <w:rPr>
          <w:spacing w:val="-1"/>
        </w:rPr>
        <w:t> </w:t>
      </w:r>
      <w:r>
        <w:rPr/>
        <w:t>review,</w:t>
      </w:r>
      <w:r>
        <w:rPr>
          <w:spacing w:val="-2"/>
        </w:rPr>
        <w:t> </w:t>
      </w:r>
      <w:r>
        <w:rPr/>
        <w:t>with comments</w:t>
      </w:r>
      <w:r>
        <w:rPr>
          <w:spacing w:val="-1"/>
        </w:rPr>
        <w:t> </w:t>
      </w:r>
      <w:r>
        <w:rPr/>
        <w:t>and</w:t>
      </w:r>
      <w:r>
        <w:rPr>
          <w:spacing w:val="-1"/>
        </w:rPr>
        <w:t> </w:t>
      </w:r>
      <w:r>
        <w:rPr/>
        <w:t>feedback also</w:t>
      </w:r>
      <w:r>
        <w:rPr>
          <w:spacing w:val="-1"/>
        </w:rPr>
        <w:t> </w:t>
      </w:r>
      <w:r>
        <w:rPr/>
        <w:t>provided</w:t>
      </w:r>
      <w:r>
        <w:rPr>
          <w:spacing w:val="-1"/>
        </w:rPr>
        <w:t> </w:t>
      </w:r>
      <w:r>
        <w:rPr/>
        <w:t>by</w:t>
      </w:r>
      <w:r>
        <w:rPr>
          <w:spacing w:val="-6"/>
        </w:rPr>
        <w:t> </w:t>
      </w:r>
      <w:r>
        <w:rPr/>
        <w:t>the</w:t>
      </w:r>
      <w:r>
        <w:rPr>
          <w:spacing w:val="-1"/>
        </w:rPr>
        <w:t> </w:t>
      </w:r>
      <w:r>
        <w:rPr/>
        <w:t>review</w:t>
      </w:r>
      <w:r>
        <w:rPr>
          <w:spacing w:val="-1"/>
        </w:rPr>
        <w:t> </w:t>
      </w:r>
      <w:r>
        <w:rPr/>
        <w:t>committee</w:t>
      </w:r>
      <w:r>
        <w:rPr>
          <w:spacing w:val="-2"/>
        </w:rPr>
        <w:t> </w:t>
      </w:r>
      <w:r>
        <w:rPr/>
        <w:t>members. The</w:t>
      </w:r>
      <w:r>
        <w:rPr>
          <w:spacing w:val="-3"/>
        </w:rPr>
        <w:t> </w:t>
      </w:r>
      <w:r>
        <w:rPr/>
        <w:t>responsibilities</w:t>
      </w:r>
      <w:r>
        <w:rPr>
          <w:spacing w:val="-1"/>
        </w:rPr>
        <w:t> </w:t>
      </w:r>
      <w:r>
        <w:rPr/>
        <w:t>of the other committee members will include: (1) reading the self-study report; (2) participating in the two-day site visit and interviewing students, faculty, staff, administrators, and other stakeholders involved with the Center; and (3) providing comments to the review committee chair to be included in a report of the findings of the review.</w:t>
      </w:r>
    </w:p>
    <w:p>
      <w:pPr>
        <w:pStyle w:val="BodyText"/>
        <w:spacing w:before="1"/>
      </w:pPr>
    </w:p>
    <w:p>
      <w:pPr>
        <w:spacing w:before="0"/>
        <w:ind w:left="100" w:right="0" w:firstLine="0"/>
        <w:jc w:val="left"/>
        <w:rPr>
          <w:i/>
          <w:sz w:val="24"/>
        </w:rPr>
      </w:pPr>
      <w:r>
        <w:rPr>
          <w:i/>
          <w:sz w:val="24"/>
          <w:u w:val="single"/>
        </w:rPr>
        <w:t>Strategic</w:t>
      </w:r>
      <w:r>
        <w:rPr>
          <w:i/>
          <w:spacing w:val="-2"/>
          <w:sz w:val="24"/>
          <w:u w:val="single"/>
        </w:rPr>
        <w:t> </w:t>
      </w:r>
      <w:r>
        <w:rPr>
          <w:i/>
          <w:spacing w:val="-4"/>
          <w:sz w:val="24"/>
          <w:u w:val="single"/>
        </w:rPr>
        <w:t>Plan</w:t>
      </w:r>
    </w:p>
    <w:p>
      <w:pPr>
        <w:pStyle w:val="BodyText"/>
        <w:spacing w:before="2"/>
        <w:rPr>
          <w:i/>
          <w:sz w:val="16"/>
        </w:rPr>
      </w:pPr>
    </w:p>
    <w:p>
      <w:pPr>
        <w:pStyle w:val="BodyText"/>
        <w:spacing w:before="90"/>
        <w:ind w:left="100" w:right="169"/>
      </w:pPr>
      <w:r>
        <w:rPr/>
        <w:t>The strategic plan is developed by the Center’s director in consultation with the Center’s advisory</w:t>
      </w:r>
      <w:r>
        <w:rPr>
          <w:spacing w:val="-8"/>
        </w:rPr>
        <w:t> </w:t>
      </w:r>
      <w:r>
        <w:rPr/>
        <w:t>board</w:t>
      </w:r>
      <w:r>
        <w:rPr>
          <w:spacing w:val="-2"/>
        </w:rPr>
        <w:t> </w:t>
      </w:r>
      <w:r>
        <w:rPr/>
        <w:t>and</w:t>
      </w:r>
      <w:r>
        <w:rPr>
          <w:spacing w:val="-3"/>
        </w:rPr>
        <w:t> </w:t>
      </w:r>
      <w:r>
        <w:rPr/>
        <w:t>staff.</w:t>
      </w:r>
      <w:r>
        <w:rPr>
          <w:spacing w:val="-2"/>
        </w:rPr>
        <w:t> </w:t>
      </w:r>
      <w:r>
        <w:rPr/>
        <w:t>This</w:t>
      </w:r>
      <w:r>
        <w:rPr>
          <w:spacing w:val="-2"/>
        </w:rPr>
        <w:t> </w:t>
      </w:r>
      <w:r>
        <w:rPr/>
        <w:t>plan</w:t>
      </w:r>
      <w:r>
        <w:rPr>
          <w:spacing w:val="-4"/>
        </w:rPr>
        <w:t> </w:t>
      </w:r>
      <w:r>
        <w:rPr/>
        <w:t>must</w:t>
      </w:r>
      <w:r>
        <w:rPr>
          <w:spacing w:val="-2"/>
        </w:rPr>
        <w:t> </w:t>
      </w:r>
      <w:r>
        <w:rPr/>
        <w:t>reflect</w:t>
      </w:r>
      <w:r>
        <w:rPr>
          <w:spacing w:val="-3"/>
        </w:rPr>
        <w:t> </w:t>
      </w:r>
      <w:r>
        <w:rPr/>
        <w:t>the</w:t>
      </w:r>
      <w:r>
        <w:rPr>
          <w:spacing w:val="-2"/>
        </w:rPr>
        <w:t> </w:t>
      </w:r>
      <w:r>
        <w:rPr/>
        <w:t>external</w:t>
      </w:r>
      <w:r>
        <w:rPr>
          <w:spacing w:val="-3"/>
        </w:rPr>
        <w:t> </w:t>
      </w:r>
      <w:r>
        <w:rPr/>
        <w:t>review</w:t>
      </w:r>
      <w:r>
        <w:rPr>
          <w:spacing w:val="-3"/>
        </w:rPr>
        <w:t> </w:t>
      </w:r>
      <w:r>
        <w:rPr/>
        <w:t>report</w:t>
      </w:r>
      <w:r>
        <w:rPr>
          <w:spacing w:val="-3"/>
        </w:rPr>
        <w:t> </w:t>
      </w:r>
      <w:r>
        <w:rPr/>
        <w:t>and</w:t>
      </w:r>
      <w:r>
        <w:rPr>
          <w:spacing w:val="-3"/>
        </w:rPr>
        <w:t> </w:t>
      </w:r>
      <w:r>
        <w:rPr/>
        <w:t>self-study.</w:t>
      </w:r>
      <w:r>
        <w:rPr>
          <w:spacing w:val="-1"/>
        </w:rPr>
        <w:t> </w:t>
      </w:r>
      <w:r>
        <w:rPr/>
        <w:t>This plan</w:t>
      </w:r>
      <w:r>
        <w:rPr>
          <w:spacing w:val="-1"/>
        </w:rPr>
        <w:t> </w:t>
      </w:r>
      <w:r>
        <w:rPr/>
        <w:t>is</w:t>
      </w:r>
      <w:r>
        <w:rPr>
          <w:spacing w:val="-1"/>
        </w:rPr>
        <w:t> </w:t>
      </w:r>
      <w:r>
        <w:rPr/>
        <w:t>presented</w:t>
      </w:r>
      <w:r>
        <w:rPr>
          <w:spacing w:val="-1"/>
        </w:rPr>
        <w:t> </w:t>
      </w:r>
      <w:r>
        <w:rPr/>
        <w:t>and</w:t>
      </w:r>
      <w:r>
        <w:rPr>
          <w:spacing w:val="-1"/>
        </w:rPr>
        <w:t> </w:t>
      </w:r>
      <w:r>
        <w:rPr/>
        <w:t>discussed</w:t>
      </w:r>
      <w:r>
        <w:rPr>
          <w:spacing w:val="-1"/>
        </w:rPr>
        <w:t> </w:t>
      </w:r>
      <w:r>
        <w:rPr/>
        <w:t>with</w:t>
      </w:r>
      <w:r>
        <w:rPr>
          <w:spacing w:val="-1"/>
        </w:rPr>
        <w:t> </w:t>
      </w:r>
      <w:r>
        <w:rPr/>
        <w:t>the</w:t>
      </w:r>
      <w:r>
        <w:rPr>
          <w:spacing w:val="-1"/>
        </w:rPr>
        <w:t> </w:t>
      </w:r>
      <w:r>
        <w:rPr/>
        <w:t>Associate</w:t>
      </w:r>
      <w:r>
        <w:rPr>
          <w:spacing w:val="-1"/>
        </w:rPr>
        <w:t> </w:t>
      </w:r>
      <w:r>
        <w:rPr/>
        <w:t>Dean</w:t>
      </w:r>
      <w:r>
        <w:rPr>
          <w:spacing w:val="-1"/>
        </w:rPr>
        <w:t> </w:t>
      </w:r>
      <w:r>
        <w:rPr/>
        <w:t>of</w:t>
      </w:r>
      <w:r>
        <w:rPr>
          <w:spacing w:val="-1"/>
        </w:rPr>
        <w:t> </w:t>
      </w:r>
      <w:r>
        <w:rPr/>
        <w:t>Research and Development</w:t>
      </w:r>
      <w:r>
        <w:rPr>
          <w:spacing w:val="-1"/>
        </w:rPr>
        <w:t> </w:t>
      </w:r>
      <w:r>
        <w:rPr/>
        <w:t>by</w:t>
      </w:r>
      <w:r>
        <w:rPr>
          <w:spacing w:val="-6"/>
        </w:rPr>
        <w:t> </w:t>
      </w:r>
      <w:r>
        <w:rPr/>
        <w:t>the end of the Spring Semester of the review year. It should focus on the next seven years and address the following questions/issues.</w:t>
      </w:r>
    </w:p>
    <w:p>
      <w:pPr>
        <w:spacing w:after="0"/>
        <w:sectPr>
          <w:pgSz w:w="12240" w:h="15840"/>
          <w:pgMar w:header="725" w:footer="1066" w:top="1340" w:bottom="1260" w:left="1340" w:right="1320"/>
        </w:sectPr>
      </w:pPr>
    </w:p>
    <w:p>
      <w:pPr>
        <w:pStyle w:val="BodyText"/>
        <w:spacing w:before="1"/>
        <w:rPr>
          <w:sz w:val="23"/>
        </w:rPr>
      </w:pPr>
    </w:p>
    <w:p>
      <w:pPr>
        <w:pStyle w:val="ListParagraph"/>
        <w:numPr>
          <w:ilvl w:val="1"/>
          <w:numId w:val="1"/>
        </w:numPr>
        <w:tabs>
          <w:tab w:pos="1180" w:val="left" w:leader="none"/>
        </w:tabs>
        <w:spacing w:line="276" w:lineRule="auto" w:before="90" w:after="0"/>
        <w:ind w:left="1180" w:right="1026" w:hanging="360"/>
        <w:jc w:val="left"/>
        <w:rPr>
          <w:sz w:val="24"/>
        </w:rPr>
      </w:pPr>
      <w:r>
        <w:rPr>
          <w:sz w:val="24"/>
        </w:rPr>
        <w:t>What,</w:t>
      </w:r>
      <w:r>
        <w:rPr>
          <w:spacing w:val="-3"/>
          <w:sz w:val="24"/>
        </w:rPr>
        <w:t> </w:t>
      </w:r>
      <w:r>
        <w:rPr>
          <w:sz w:val="24"/>
        </w:rPr>
        <w:t>if</w:t>
      </w:r>
      <w:r>
        <w:rPr>
          <w:spacing w:val="-3"/>
          <w:sz w:val="24"/>
        </w:rPr>
        <w:t> </w:t>
      </w:r>
      <w:r>
        <w:rPr>
          <w:sz w:val="24"/>
        </w:rPr>
        <w:t>any,</w:t>
      </w:r>
      <w:r>
        <w:rPr>
          <w:spacing w:val="-3"/>
          <w:sz w:val="24"/>
        </w:rPr>
        <w:t> </w:t>
      </w:r>
      <w:r>
        <w:rPr>
          <w:sz w:val="24"/>
        </w:rPr>
        <w:t>aspects</w:t>
      </w:r>
      <w:r>
        <w:rPr>
          <w:spacing w:val="-3"/>
          <w:sz w:val="24"/>
        </w:rPr>
        <w:t> </w:t>
      </w:r>
      <w:r>
        <w:rPr>
          <w:sz w:val="24"/>
        </w:rPr>
        <w:t>of</w:t>
      </w:r>
      <w:r>
        <w:rPr>
          <w:spacing w:val="-3"/>
          <w:sz w:val="24"/>
        </w:rPr>
        <w:t> </w:t>
      </w:r>
      <w:r>
        <w:rPr>
          <w:sz w:val="24"/>
        </w:rPr>
        <w:t>the</w:t>
      </w:r>
      <w:r>
        <w:rPr>
          <w:spacing w:val="-4"/>
          <w:sz w:val="24"/>
        </w:rPr>
        <w:t> </w:t>
      </w:r>
      <w:r>
        <w:rPr>
          <w:sz w:val="24"/>
        </w:rPr>
        <w:t>Center</w:t>
      </w:r>
      <w:r>
        <w:rPr>
          <w:spacing w:val="-5"/>
          <w:sz w:val="24"/>
        </w:rPr>
        <w:t> </w:t>
      </w:r>
      <w:r>
        <w:rPr>
          <w:sz w:val="24"/>
        </w:rPr>
        <w:t>structure</w:t>
      </w:r>
      <w:r>
        <w:rPr>
          <w:spacing w:val="-4"/>
          <w:sz w:val="24"/>
        </w:rPr>
        <w:t> </w:t>
      </w:r>
      <w:r>
        <w:rPr>
          <w:sz w:val="24"/>
        </w:rPr>
        <w:t>need</w:t>
      </w:r>
      <w:r>
        <w:rPr>
          <w:spacing w:val="-1"/>
          <w:sz w:val="24"/>
        </w:rPr>
        <w:t> </w:t>
      </w:r>
      <w:r>
        <w:rPr>
          <w:sz w:val="24"/>
        </w:rPr>
        <w:t>to</w:t>
      </w:r>
      <w:r>
        <w:rPr>
          <w:spacing w:val="-3"/>
          <w:sz w:val="24"/>
        </w:rPr>
        <w:t> </w:t>
      </w:r>
      <w:r>
        <w:rPr>
          <w:sz w:val="24"/>
        </w:rPr>
        <w:t>be</w:t>
      </w:r>
      <w:r>
        <w:rPr>
          <w:spacing w:val="-3"/>
          <w:sz w:val="24"/>
        </w:rPr>
        <w:t> </w:t>
      </w:r>
      <w:r>
        <w:rPr>
          <w:sz w:val="24"/>
        </w:rPr>
        <w:t>revised</w:t>
      </w:r>
      <w:r>
        <w:rPr>
          <w:spacing w:val="-3"/>
          <w:sz w:val="24"/>
        </w:rPr>
        <w:t> </w:t>
      </w:r>
      <w:r>
        <w:rPr>
          <w:sz w:val="24"/>
        </w:rPr>
        <w:t>(e.g.,</w:t>
      </w:r>
      <w:r>
        <w:rPr>
          <w:spacing w:val="-3"/>
          <w:sz w:val="24"/>
        </w:rPr>
        <w:t> </w:t>
      </w:r>
      <w:r>
        <w:rPr>
          <w:sz w:val="24"/>
        </w:rPr>
        <w:t>mission statement, budget allocations)?</w:t>
      </w:r>
    </w:p>
    <w:p>
      <w:pPr>
        <w:pStyle w:val="ListParagraph"/>
        <w:numPr>
          <w:ilvl w:val="1"/>
          <w:numId w:val="1"/>
        </w:numPr>
        <w:tabs>
          <w:tab w:pos="1180" w:val="left" w:leader="none"/>
        </w:tabs>
        <w:spacing w:line="278" w:lineRule="auto" w:before="0" w:after="0"/>
        <w:ind w:left="1180" w:right="534" w:hanging="360"/>
        <w:jc w:val="left"/>
        <w:rPr>
          <w:sz w:val="24"/>
        </w:rPr>
      </w:pPr>
      <w:r>
        <w:rPr>
          <w:sz w:val="24"/>
        </w:rPr>
        <w:t>What</w:t>
      </w:r>
      <w:r>
        <w:rPr>
          <w:spacing w:val="-3"/>
          <w:sz w:val="24"/>
        </w:rPr>
        <w:t> </w:t>
      </w:r>
      <w:r>
        <w:rPr>
          <w:sz w:val="24"/>
        </w:rPr>
        <w:t>are</w:t>
      </w:r>
      <w:r>
        <w:rPr>
          <w:spacing w:val="-4"/>
          <w:sz w:val="24"/>
        </w:rPr>
        <w:t> </w:t>
      </w:r>
      <w:r>
        <w:rPr>
          <w:sz w:val="24"/>
        </w:rPr>
        <w:t>the</w:t>
      </w:r>
      <w:r>
        <w:rPr>
          <w:spacing w:val="-3"/>
          <w:sz w:val="24"/>
        </w:rPr>
        <w:t> </w:t>
      </w:r>
      <w:r>
        <w:rPr>
          <w:sz w:val="24"/>
        </w:rPr>
        <w:t>identified</w:t>
      </w:r>
      <w:r>
        <w:rPr>
          <w:spacing w:val="-3"/>
          <w:sz w:val="24"/>
        </w:rPr>
        <w:t> </w:t>
      </w:r>
      <w:r>
        <w:rPr>
          <w:sz w:val="24"/>
        </w:rPr>
        <w:t>strengths</w:t>
      </w:r>
      <w:r>
        <w:rPr>
          <w:spacing w:val="-3"/>
          <w:sz w:val="24"/>
        </w:rPr>
        <w:t> </w:t>
      </w:r>
      <w:r>
        <w:rPr>
          <w:sz w:val="24"/>
        </w:rPr>
        <w:t>of</w:t>
      </w:r>
      <w:r>
        <w:rPr>
          <w:spacing w:val="-3"/>
          <w:sz w:val="24"/>
        </w:rPr>
        <w:t> </w:t>
      </w:r>
      <w:r>
        <w:rPr>
          <w:sz w:val="24"/>
        </w:rPr>
        <w:t>the</w:t>
      </w:r>
      <w:r>
        <w:rPr>
          <w:spacing w:val="-3"/>
          <w:sz w:val="24"/>
        </w:rPr>
        <w:t> </w:t>
      </w:r>
      <w:r>
        <w:rPr>
          <w:sz w:val="24"/>
        </w:rPr>
        <w:t>Center? What</w:t>
      </w:r>
      <w:r>
        <w:rPr>
          <w:spacing w:val="-3"/>
          <w:sz w:val="24"/>
        </w:rPr>
        <w:t> </w:t>
      </w:r>
      <w:r>
        <w:rPr>
          <w:sz w:val="24"/>
        </w:rPr>
        <w:t>steps</w:t>
      </w:r>
      <w:r>
        <w:rPr>
          <w:spacing w:val="-3"/>
          <w:sz w:val="24"/>
        </w:rPr>
        <w:t> </w:t>
      </w:r>
      <w:r>
        <w:rPr>
          <w:sz w:val="24"/>
        </w:rPr>
        <w:t>will</w:t>
      </w:r>
      <w:r>
        <w:rPr>
          <w:spacing w:val="-3"/>
          <w:sz w:val="24"/>
        </w:rPr>
        <w:t> </w:t>
      </w:r>
      <w:r>
        <w:rPr>
          <w:sz w:val="24"/>
        </w:rPr>
        <w:t>the</w:t>
      </w:r>
      <w:r>
        <w:rPr>
          <w:spacing w:val="-4"/>
          <w:sz w:val="24"/>
        </w:rPr>
        <w:t> </w:t>
      </w:r>
      <w:r>
        <w:rPr>
          <w:sz w:val="24"/>
        </w:rPr>
        <w:t>Center</w:t>
      </w:r>
      <w:r>
        <w:rPr>
          <w:spacing w:val="-5"/>
          <w:sz w:val="24"/>
        </w:rPr>
        <w:t> </w:t>
      </w:r>
      <w:r>
        <w:rPr>
          <w:sz w:val="24"/>
        </w:rPr>
        <w:t>take</w:t>
      </w:r>
      <w:r>
        <w:rPr>
          <w:spacing w:val="-5"/>
          <w:sz w:val="24"/>
        </w:rPr>
        <w:t> </w:t>
      </w:r>
      <w:r>
        <w:rPr>
          <w:sz w:val="24"/>
        </w:rPr>
        <w:t>to maintain these strengths?</w:t>
      </w:r>
    </w:p>
    <w:p>
      <w:pPr>
        <w:pStyle w:val="ListParagraph"/>
        <w:numPr>
          <w:ilvl w:val="1"/>
          <w:numId w:val="1"/>
        </w:numPr>
        <w:tabs>
          <w:tab w:pos="1180" w:val="left" w:leader="none"/>
        </w:tabs>
        <w:spacing w:line="276" w:lineRule="auto" w:before="0" w:after="0"/>
        <w:ind w:left="1180" w:right="664" w:hanging="360"/>
        <w:jc w:val="left"/>
        <w:rPr>
          <w:sz w:val="24"/>
        </w:rPr>
      </w:pPr>
      <w:r>
        <w:rPr>
          <w:sz w:val="24"/>
        </w:rPr>
        <w:t>What</w:t>
      </w:r>
      <w:r>
        <w:rPr>
          <w:spacing w:val="-3"/>
          <w:sz w:val="24"/>
        </w:rPr>
        <w:t> </w:t>
      </w:r>
      <w:r>
        <w:rPr>
          <w:sz w:val="24"/>
        </w:rPr>
        <w:t>are</w:t>
      </w:r>
      <w:r>
        <w:rPr>
          <w:spacing w:val="-4"/>
          <w:sz w:val="24"/>
        </w:rPr>
        <w:t> </w:t>
      </w:r>
      <w:r>
        <w:rPr>
          <w:sz w:val="24"/>
        </w:rPr>
        <w:t>the</w:t>
      </w:r>
      <w:r>
        <w:rPr>
          <w:spacing w:val="-3"/>
          <w:sz w:val="24"/>
        </w:rPr>
        <w:t> </w:t>
      </w:r>
      <w:r>
        <w:rPr>
          <w:sz w:val="24"/>
        </w:rPr>
        <w:t>identified</w:t>
      </w:r>
      <w:r>
        <w:rPr>
          <w:spacing w:val="-3"/>
          <w:sz w:val="24"/>
        </w:rPr>
        <w:t> </w:t>
      </w:r>
      <w:r>
        <w:rPr>
          <w:sz w:val="24"/>
        </w:rPr>
        <w:t>areas</w:t>
      </w:r>
      <w:r>
        <w:rPr>
          <w:spacing w:val="-3"/>
          <w:sz w:val="24"/>
        </w:rPr>
        <w:t> </w:t>
      </w:r>
      <w:r>
        <w:rPr>
          <w:sz w:val="24"/>
        </w:rPr>
        <w:t>in</w:t>
      </w:r>
      <w:r>
        <w:rPr>
          <w:spacing w:val="-3"/>
          <w:sz w:val="24"/>
        </w:rPr>
        <w:t> </w:t>
      </w:r>
      <w:r>
        <w:rPr>
          <w:sz w:val="24"/>
        </w:rPr>
        <w:t>which</w:t>
      </w:r>
      <w:r>
        <w:rPr>
          <w:spacing w:val="-3"/>
          <w:sz w:val="24"/>
        </w:rPr>
        <w:t> </w:t>
      </w:r>
      <w:r>
        <w:rPr>
          <w:sz w:val="24"/>
        </w:rPr>
        <w:t>the</w:t>
      </w:r>
      <w:r>
        <w:rPr>
          <w:spacing w:val="-3"/>
          <w:sz w:val="24"/>
        </w:rPr>
        <w:t> </w:t>
      </w:r>
      <w:r>
        <w:rPr>
          <w:sz w:val="24"/>
        </w:rPr>
        <w:t>Center</w:t>
      </w:r>
      <w:r>
        <w:rPr>
          <w:spacing w:val="-3"/>
          <w:sz w:val="24"/>
        </w:rPr>
        <w:t> </w:t>
      </w:r>
      <w:r>
        <w:rPr>
          <w:sz w:val="24"/>
        </w:rPr>
        <w:t>needs</w:t>
      </w:r>
      <w:r>
        <w:rPr>
          <w:spacing w:val="-3"/>
          <w:sz w:val="24"/>
        </w:rPr>
        <w:t> </w:t>
      </w:r>
      <w:r>
        <w:rPr>
          <w:sz w:val="24"/>
        </w:rPr>
        <w:t>to</w:t>
      </w:r>
      <w:r>
        <w:rPr>
          <w:spacing w:val="-3"/>
          <w:sz w:val="24"/>
        </w:rPr>
        <w:t> </w:t>
      </w:r>
      <w:r>
        <w:rPr>
          <w:sz w:val="24"/>
        </w:rPr>
        <w:t>improve</w:t>
      </w:r>
      <w:r>
        <w:rPr>
          <w:spacing w:val="-5"/>
          <w:sz w:val="24"/>
        </w:rPr>
        <w:t> </w:t>
      </w:r>
      <w:r>
        <w:rPr>
          <w:sz w:val="24"/>
        </w:rPr>
        <w:t>over</w:t>
      </w:r>
      <w:r>
        <w:rPr>
          <w:spacing w:val="-3"/>
          <w:sz w:val="24"/>
        </w:rPr>
        <w:t> </w:t>
      </w:r>
      <w:r>
        <w:rPr>
          <w:sz w:val="24"/>
        </w:rPr>
        <w:t>the</w:t>
      </w:r>
      <w:r>
        <w:rPr>
          <w:spacing w:val="-2"/>
          <w:sz w:val="24"/>
        </w:rPr>
        <w:t> </w:t>
      </w:r>
      <w:r>
        <w:rPr>
          <w:sz w:val="24"/>
        </w:rPr>
        <w:t>next seven years? What steps will the Center take to strengthen these areas?</w:t>
      </w:r>
    </w:p>
    <w:p>
      <w:pPr>
        <w:pStyle w:val="ListParagraph"/>
        <w:numPr>
          <w:ilvl w:val="1"/>
          <w:numId w:val="1"/>
        </w:numPr>
        <w:tabs>
          <w:tab w:pos="1180" w:val="left" w:leader="none"/>
        </w:tabs>
        <w:spacing w:line="275" w:lineRule="exact" w:before="0" w:after="0"/>
        <w:ind w:left="1180" w:right="0" w:hanging="360"/>
        <w:jc w:val="left"/>
        <w:rPr>
          <w:sz w:val="24"/>
        </w:rPr>
      </w:pPr>
      <w:r>
        <w:rPr>
          <w:sz w:val="24"/>
        </w:rPr>
        <w:t>What</w:t>
      </w:r>
      <w:r>
        <w:rPr>
          <w:spacing w:val="-1"/>
          <w:sz w:val="24"/>
        </w:rPr>
        <w:t> </w:t>
      </w:r>
      <w:r>
        <w:rPr>
          <w:sz w:val="24"/>
        </w:rPr>
        <w:t>additional</w:t>
      </w:r>
      <w:r>
        <w:rPr>
          <w:spacing w:val="-1"/>
          <w:sz w:val="24"/>
        </w:rPr>
        <w:t> </w:t>
      </w:r>
      <w:r>
        <w:rPr>
          <w:sz w:val="24"/>
        </w:rPr>
        <w:t>resources</w:t>
      </w:r>
      <w:r>
        <w:rPr>
          <w:spacing w:val="-1"/>
          <w:sz w:val="24"/>
        </w:rPr>
        <w:t> </w:t>
      </w:r>
      <w:r>
        <w:rPr>
          <w:sz w:val="24"/>
        </w:rPr>
        <w:t>will</w:t>
      </w:r>
      <w:r>
        <w:rPr>
          <w:spacing w:val="-1"/>
          <w:sz w:val="24"/>
        </w:rPr>
        <w:t> </w:t>
      </w:r>
      <w:r>
        <w:rPr>
          <w:sz w:val="24"/>
        </w:rPr>
        <w:t>the</w:t>
      </w:r>
      <w:r>
        <w:rPr>
          <w:spacing w:val="-1"/>
          <w:sz w:val="24"/>
        </w:rPr>
        <w:t> </w:t>
      </w:r>
      <w:r>
        <w:rPr>
          <w:sz w:val="24"/>
        </w:rPr>
        <w:t>Center</w:t>
      </w:r>
      <w:r>
        <w:rPr>
          <w:spacing w:val="-3"/>
          <w:sz w:val="24"/>
        </w:rPr>
        <w:t> </w:t>
      </w:r>
      <w:r>
        <w:rPr>
          <w:sz w:val="24"/>
        </w:rPr>
        <w:t>need</w:t>
      </w:r>
      <w:r>
        <w:rPr>
          <w:spacing w:val="-1"/>
          <w:sz w:val="24"/>
        </w:rPr>
        <w:t> </w:t>
      </w:r>
      <w:r>
        <w:rPr>
          <w:sz w:val="24"/>
        </w:rPr>
        <w:t>to accomplish</w:t>
      </w:r>
      <w:r>
        <w:rPr>
          <w:spacing w:val="-1"/>
          <w:sz w:val="24"/>
        </w:rPr>
        <w:t> </w:t>
      </w:r>
      <w:r>
        <w:rPr>
          <w:sz w:val="24"/>
        </w:rPr>
        <w:t>these</w:t>
      </w:r>
      <w:r>
        <w:rPr>
          <w:spacing w:val="-1"/>
          <w:sz w:val="24"/>
        </w:rPr>
        <w:t> </w:t>
      </w:r>
      <w:r>
        <w:rPr>
          <w:spacing w:val="-2"/>
          <w:sz w:val="24"/>
        </w:rPr>
        <w:t>improvements?</w:t>
      </w:r>
    </w:p>
    <w:p>
      <w:pPr>
        <w:pStyle w:val="ListParagraph"/>
        <w:numPr>
          <w:ilvl w:val="1"/>
          <w:numId w:val="1"/>
        </w:numPr>
        <w:tabs>
          <w:tab w:pos="1180" w:val="left" w:leader="none"/>
        </w:tabs>
        <w:spacing w:line="240" w:lineRule="auto" w:before="41" w:after="0"/>
        <w:ind w:left="1180" w:right="0" w:hanging="360"/>
        <w:jc w:val="left"/>
        <w:rPr>
          <w:sz w:val="24"/>
        </w:rPr>
      </w:pPr>
      <w:r>
        <w:rPr>
          <w:sz w:val="24"/>
        </w:rPr>
        <w:t>What</w:t>
      </w:r>
      <w:r>
        <w:rPr>
          <w:spacing w:val="-1"/>
          <w:sz w:val="24"/>
        </w:rPr>
        <w:t> </w:t>
      </w:r>
      <w:r>
        <w:rPr>
          <w:sz w:val="24"/>
        </w:rPr>
        <w:t>opportunities</w:t>
      </w:r>
      <w:r>
        <w:rPr>
          <w:spacing w:val="-1"/>
          <w:sz w:val="24"/>
        </w:rPr>
        <w:t> </w:t>
      </w:r>
      <w:r>
        <w:rPr>
          <w:sz w:val="24"/>
        </w:rPr>
        <w:t>and threats does</w:t>
      </w:r>
      <w:r>
        <w:rPr>
          <w:spacing w:val="-1"/>
          <w:sz w:val="24"/>
        </w:rPr>
        <w:t> </w:t>
      </w:r>
      <w:r>
        <w:rPr>
          <w:sz w:val="24"/>
        </w:rPr>
        <w:t>the</w:t>
      </w:r>
      <w:r>
        <w:rPr>
          <w:spacing w:val="-1"/>
          <w:sz w:val="24"/>
        </w:rPr>
        <w:t> </w:t>
      </w:r>
      <w:r>
        <w:rPr>
          <w:sz w:val="24"/>
        </w:rPr>
        <w:t>Center anticipate</w:t>
      </w:r>
      <w:r>
        <w:rPr>
          <w:spacing w:val="-2"/>
          <w:sz w:val="24"/>
        </w:rPr>
        <w:t> </w:t>
      </w:r>
      <w:r>
        <w:rPr>
          <w:sz w:val="24"/>
        </w:rPr>
        <w:t>in the</w:t>
      </w:r>
      <w:r>
        <w:rPr>
          <w:spacing w:val="-2"/>
          <w:sz w:val="24"/>
        </w:rPr>
        <w:t> </w:t>
      </w:r>
      <w:r>
        <w:rPr>
          <w:sz w:val="24"/>
        </w:rPr>
        <w:t>next seven </w:t>
      </w:r>
      <w:r>
        <w:rPr>
          <w:spacing w:val="-2"/>
          <w:sz w:val="24"/>
        </w:rPr>
        <w:t>years?</w:t>
      </w:r>
    </w:p>
    <w:p>
      <w:pPr>
        <w:pStyle w:val="BodyText"/>
        <w:spacing w:before="7"/>
        <w:rPr>
          <w:sz w:val="20"/>
        </w:rPr>
      </w:pPr>
    </w:p>
    <w:p>
      <w:pPr>
        <w:spacing w:before="0"/>
        <w:ind w:left="100" w:right="0" w:firstLine="0"/>
        <w:jc w:val="left"/>
        <w:rPr>
          <w:i/>
          <w:sz w:val="24"/>
        </w:rPr>
      </w:pPr>
      <w:r>
        <w:rPr>
          <w:i/>
          <w:spacing w:val="-2"/>
          <w:sz w:val="24"/>
          <w:u w:val="single"/>
        </w:rPr>
        <w:t>Timeline</w:t>
      </w:r>
    </w:p>
    <w:p>
      <w:pPr>
        <w:pStyle w:val="BodyText"/>
        <w:spacing w:before="3"/>
        <w:rPr>
          <w:i/>
          <w:sz w:val="16"/>
        </w:rPr>
      </w:pPr>
    </w:p>
    <w:p>
      <w:pPr>
        <w:pStyle w:val="BodyText"/>
        <w:spacing w:before="90"/>
        <w:ind w:left="100"/>
      </w:pPr>
      <w:r>
        <w:rPr/>
        <w:t>The timeline for the review activities, illustrating the intensity and duration of the various components, is presented below. Parenthetical information refers to those responsible for the activity, with the following designations: C=Center; External Review Committee=ERC; SOE=School</w:t>
      </w:r>
      <w:r>
        <w:rPr>
          <w:spacing w:val="-4"/>
        </w:rPr>
        <w:t> </w:t>
      </w:r>
      <w:r>
        <w:rPr/>
        <w:t>of</w:t>
      </w:r>
      <w:r>
        <w:rPr>
          <w:spacing w:val="-4"/>
        </w:rPr>
        <w:t> </w:t>
      </w:r>
      <w:r>
        <w:rPr/>
        <w:t>Education</w:t>
      </w:r>
      <w:r>
        <w:rPr>
          <w:spacing w:val="-4"/>
        </w:rPr>
        <w:t> </w:t>
      </w:r>
      <w:r>
        <w:rPr/>
        <w:t>Dean’s</w:t>
      </w:r>
      <w:r>
        <w:rPr>
          <w:spacing w:val="-5"/>
        </w:rPr>
        <w:t> </w:t>
      </w:r>
      <w:r>
        <w:rPr/>
        <w:t>Office;</w:t>
      </w:r>
      <w:r>
        <w:rPr>
          <w:spacing w:val="-4"/>
        </w:rPr>
        <w:t> </w:t>
      </w:r>
      <w:r>
        <w:rPr/>
        <w:t>R&amp;D=School</w:t>
      </w:r>
      <w:r>
        <w:rPr>
          <w:spacing w:val="-4"/>
        </w:rPr>
        <w:t> </w:t>
      </w:r>
      <w:r>
        <w:rPr/>
        <w:t>of</w:t>
      </w:r>
      <w:r>
        <w:rPr>
          <w:spacing w:val="-4"/>
        </w:rPr>
        <w:t> </w:t>
      </w:r>
      <w:r>
        <w:rPr/>
        <w:t>Education</w:t>
      </w:r>
      <w:r>
        <w:rPr>
          <w:spacing w:val="-4"/>
        </w:rPr>
        <w:t> </w:t>
      </w:r>
      <w:r>
        <w:rPr/>
        <w:t>Office</w:t>
      </w:r>
      <w:r>
        <w:rPr>
          <w:spacing w:val="-5"/>
        </w:rPr>
        <w:t> </w:t>
      </w:r>
      <w:r>
        <w:rPr/>
        <w:t>of</w:t>
      </w:r>
      <w:r>
        <w:rPr>
          <w:spacing w:val="-4"/>
        </w:rPr>
        <w:t> </w:t>
      </w:r>
      <w:r>
        <w:rPr/>
        <w:t>Research</w:t>
      </w:r>
      <w:r>
        <w:rPr>
          <w:spacing w:val="-2"/>
        </w:rPr>
        <w:t> </w:t>
      </w:r>
      <w:r>
        <w:rPr/>
        <w:t>and </w:t>
      </w:r>
      <w:r>
        <w:rPr>
          <w:spacing w:val="-2"/>
        </w:rPr>
        <w:t>Development.</w:t>
      </w:r>
    </w:p>
    <w:p>
      <w:pPr>
        <w:pStyle w:val="BodyText"/>
        <w:spacing w:before="6"/>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867"/>
        <w:gridCol w:w="3240"/>
        <w:gridCol w:w="2244"/>
      </w:tblGrid>
      <w:tr>
        <w:trPr>
          <w:trHeight w:val="275" w:hRule="atLeast"/>
        </w:trPr>
        <w:tc>
          <w:tcPr>
            <w:tcW w:w="3867" w:type="dxa"/>
          </w:tcPr>
          <w:p>
            <w:pPr>
              <w:pStyle w:val="TableParagraph"/>
              <w:ind w:left="107"/>
              <w:rPr>
                <w:b/>
                <w:sz w:val="24"/>
              </w:rPr>
            </w:pPr>
            <w:r>
              <w:rPr>
                <w:b/>
                <w:sz w:val="24"/>
              </w:rPr>
              <w:t>Review</w:t>
            </w:r>
            <w:r>
              <w:rPr>
                <w:b/>
                <w:spacing w:val="-1"/>
                <w:sz w:val="24"/>
              </w:rPr>
              <w:t> </w:t>
            </w:r>
            <w:r>
              <w:rPr>
                <w:b/>
                <w:spacing w:val="-2"/>
                <w:sz w:val="24"/>
              </w:rPr>
              <w:t>Component</w:t>
            </w:r>
          </w:p>
        </w:tc>
        <w:tc>
          <w:tcPr>
            <w:tcW w:w="3240" w:type="dxa"/>
          </w:tcPr>
          <w:p>
            <w:pPr>
              <w:pStyle w:val="TableParagraph"/>
              <w:rPr>
                <w:b/>
                <w:sz w:val="24"/>
              </w:rPr>
            </w:pPr>
            <w:r>
              <w:rPr>
                <w:b/>
                <w:sz w:val="24"/>
              </w:rPr>
              <w:t>Due</w:t>
            </w:r>
            <w:r>
              <w:rPr>
                <w:b/>
                <w:spacing w:val="-3"/>
                <w:sz w:val="24"/>
              </w:rPr>
              <w:t> </w:t>
            </w:r>
            <w:r>
              <w:rPr>
                <w:b/>
                <w:spacing w:val="-2"/>
                <w:sz w:val="24"/>
              </w:rPr>
              <w:t>Dates</w:t>
            </w:r>
          </w:p>
        </w:tc>
        <w:tc>
          <w:tcPr>
            <w:tcW w:w="2244" w:type="dxa"/>
          </w:tcPr>
          <w:p>
            <w:pPr>
              <w:pStyle w:val="TableParagraph"/>
              <w:rPr>
                <w:b/>
                <w:sz w:val="24"/>
              </w:rPr>
            </w:pPr>
            <w:r>
              <w:rPr>
                <w:b/>
                <w:sz w:val="24"/>
              </w:rPr>
              <w:t>Responsible</w:t>
            </w:r>
            <w:r>
              <w:rPr>
                <w:b/>
                <w:spacing w:val="-3"/>
                <w:sz w:val="24"/>
              </w:rPr>
              <w:t> </w:t>
            </w:r>
            <w:r>
              <w:rPr>
                <w:b/>
                <w:spacing w:val="-4"/>
                <w:sz w:val="24"/>
              </w:rPr>
              <w:t>Party</w:t>
            </w:r>
          </w:p>
        </w:tc>
      </w:tr>
      <w:tr>
        <w:trPr>
          <w:trHeight w:val="275" w:hRule="atLeast"/>
        </w:trPr>
        <w:tc>
          <w:tcPr>
            <w:tcW w:w="3867" w:type="dxa"/>
          </w:tcPr>
          <w:p>
            <w:pPr>
              <w:pStyle w:val="TableParagraph"/>
              <w:ind w:left="107"/>
              <w:rPr>
                <w:sz w:val="24"/>
              </w:rPr>
            </w:pPr>
            <w:r>
              <w:rPr>
                <w:sz w:val="24"/>
              </w:rPr>
              <w:t>7-Year</w:t>
            </w:r>
            <w:r>
              <w:rPr>
                <w:spacing w:val="-3"/>
                <w:sz w:val="24"/>
              </w:rPr>
              <w:t> </w:t>
            </w:r>
            <w:r>
              <w:rPr>
                <w:sz w:val="24"/>
              </w:rPr>
              <w:t>Fiscal</w:t>
            </w:r>
            <w:r>
              <w:rPr>
                <w:spacing w:val="-2"/>
                <w:sz w:val="24"/>
              </w:rPr>
              <w:t> </w:t>
            </w:r>
            <w:r>
              <w:rPr>
                <w:spacing w:val="-4"/>
                <w:sz w:val="24"/>
              </w:rPr>
              <w:t>Table</w:t>
            </w:r>
          </w:p>
        </w:tc>
        <w:tc>
          <w:tcPr>
            <w:tcW w:w="3240" w:type="dxa"/>
          </w:tcPr>
          <w:p>
            <w:pPr>
              <w:pStyle w:val="TableParagraph"/>
              <w:rPr>
                <w:sz w:val="24"/>
              </w:rPr>
            </w:pPr>
            <w:r>
              <w:rPr>
                <w:sz w:val="24"/>
              </w:rPr>
              <w:t>August</w:t>
            </w:r>
            <w:r>
              <w:rPr>
                <w:spacing w:val="-3"/>
                <w:sz w:val="24"/>
              </w:rPr>
              <w:t> </w:t>
            </w:r>
            <w:r>
              <w:rPr>
                <w:spacing w:val="-5"/>
                <w:sz w:val="24"/>
              </w:rPr>
              <w:t>31</w:t>
            </w:r>
          </w:p>
        </w:tc>
        <w:tc>
          <w:tcPr>
            <w:tcW w:w="2244" w:type="dxa"/>
          </w:tcPr>
          <w:p>
            <w:pPr>
              <w:pStyle w:val="TableParagraph"/>
              <w:rPr>
                <w:sz w:val="24"/>
              </w:rPr>
            </w:pPr>
            <w:r>
              <w:rPr>
                <w:spacing w:val="-5"/>
                <w:sz w:val="24"/>
              </w:rPr>
              <w:t>R&amp;D</w:t>
            </w:r>
          </w:p>
        </w:tc>
      </w:tr>
      <w:tr>
        <w:trPr>
          <w:trHeight w:val="278" w:hRule="atLeast"/>
        </w:trPr>
        <w:tc>
          <w:tcPr>
            <w:tcW w:w="3867" w:type="dxa"/>
          </w:tcPr>
          <w:p>
            <w:pPr>
              <w:pStyle w:val="TableParagraph"/>
              <w:spacing w:line="258" w:lineRule="exact"/>
              <w:ind w:left="107"/>
              <w:rPr>
                <w:sz w:val="24"/>
              </w:rPr>
            </w:pPr>
            <w:r>
              <w:rPr>
                <w:sz w:val="24"/>
              </w:rPr>
              <w:t>List</w:t>
            </w:r>
            <w:r>
              <w:rPr>
                <w:spacing w:val="-2"/>
                <w:sz w:val="24"/>
              </w:rPr>
              <w:t> </w:t>
            </w:r>
            <w:r>
              <w:rPr>
                <w:sz w:val="24"/>
              </w:rPr>
              <w:t>of</w:t>
            </w:r>
            <w:r>
              <w:rPr>
                <w:spacing w:val="-1"/>
                <w:sz w:val="24"/>
              </w:rPr>
              <w:t> </w:t>
            </w:r>
            <w:r>
              <w:rPr>
                <w:sz w:val="24"/>
              </w:rPr>
              <w:t>Potential</w:t>
            </w:r>
            <w:r>
              <w:rPr>
                <w:spacing w:val="-2"/>
                <w:sz w:val="24"/>
              </w:rPr>
              <w:t> </w:t>
            </w:r>
            <w:r>
              <w:rPr>
                <w:sz w:val="24"/>
              </w:rPr>
              <w:t>External</w:t>
            </w:r>
            <w:r>
              <w:rPr>
                <w:spacing w:val="-1"/>
                <w:sz w:val="24"/>
              </w:rPr>
              <w:t> </w:t>
            </w:r>
            <w:r>
              <w:rPr>
                <w:spacing w:val="-2"/>
                <w:sz w:val="24"/>
              </w:rPr>
              <w:t>Reviewers</w:t>
            </w:r>
          </w:p>
        </w:tc>
        <w:tc>
          <w:tcPr>
            <w:tcW w:w="3240" w:type="dxa"/>
          </w:tcPr>
          <w:p>
            <w:pPr>
              <w:pStyle w:val="TableParagraph"/>
              <w:spacing w:line="258" w:lineRule="exact"/>
              <w:rPr>
                <w:sz w:val="24"/>
              </w:rPr>
            </w:pPr>
            <w:r>
              <w:rPr>
                <w:sz w:val="24"/>
              </w:rPr>
              <w:t>August</w:t>
            </w:r>
            <w:r>
              <w:rPr>
                <w:spacing w:val="-3"/>
                <w:sz w:val="24"/>
              </w:rPr>
              <w:t> </w:t>
            </w:r>
            <w:r>
              <w:rPr>
                <w:spacing w:val="-5"/>
                <w:sz w:val="24"/>
              </w:rPr>
              <w:t>31</w:t>
            </w:r>
          </w:p>
        </w:tc>
        <w:tc>
          <w:tcPr>
            <w:tcW w:w="2244" w:type="dxa"/>
          </w:tcPr>
          <w:p>
            <w:pPr>
              <w:pStyle w:val="TableParagraph"/>
              <w:spacing w:line="258" w:lineRule="exact"/>
              <w:rPr>
                <w:sz w:val="24"/>
              </w:rPr>
            </w:pPr>
            <w:r>
              <w:rPr>
                <w:sz w:val="24"/>
              </w:rPr>
              <w:t>C</w:t>
            </w:r>
          </w:p>
        </w:tc>
      </w:tr>
      <w:tr>
        <w:trPr>
          <w:trHeight w:val="275" w:hRule="atLeast"/>
        </w:trPr>
        <w:tc>
          <w:tcPr>
            <w:tcW w:w="3867" w:type="dxa"/>
          </w:tcPr>
          <w:p>
            <w:pPr>
              <w:pStyle w:val="TableParagraph"/>
              <w:ind w:left="107"/>
              <w:rPr>
                <w:sz w:val="24"/>
              </w:rPr>
            </w:pPr>
            <w:r>
              <w:rPr>
                <w:sz w:val="24"/>
              </w:rPr>
              <w:t>Feedback</w:t>
            </w:r>
            <w:r>
              <w:rPr>
                <w:spacing w:val="-2"/>
                <w:sz w:val="24"/>
              </w:rPr>
              <w:t> </w:t>
            </w:r>
            <w:r>
              <w:rPr>
                <w:sz w:val="24"/>
              </w:rPr>
              <w:t>from</w:t>
            </w:r>
            <w:r>
              <w:rPr>
                <w:spacing w:val="-1"/>
                <w:sz w:val="24"/>
              </w:rPr>
              <w:t> </w:t>
            </w:r>
            <w:r>
              <w:rPr>
                <w:spacing w:val="-2"/>
                <w:sz w:val="24"/>
              </w:rPr>
              <w:t>Stakeholders</w:t>
            </w:r>
          </w:p>
        </w:tc>
        <w:tc>
          <w:tcPr>
            <w:tcW w:w="3240" w:type="dxa"/>
          </w:tcPr>
          <w:p>
            <w:pPr>
              <w:pStyle w:val="TableParagraph"/>
              <w:rPr>
                <w:sz w:val="24"/>
              </w:rPr>
            </w:pPr>
            <w:r>
              <w:rPr>
                <w:sz w:val="24"/>
              </w:rPr>
              <w:t>September</w:t>
            </w:r>
            <w:r>
              <w:rPr>
                <w:spacing w:val="-3"/>
                <w:sz w:val="24"/>
              </w:rPr>
              <w:t> </w:t>
            </w:r>
            <w:r>
              <w:rPr>
                <w:spacing w:val="-5"/>
                <w:sz w:val="24"/>
              </w:rPr>
              <w:t>30</w:t>
            </w:r>
          </w:p>
        </w:tc>
        <w:tc>
          <w:tcPr>
            <w:tcW w:w="2244" w:type="dxa"/>
          </w:tcPr>
          <w:p>
            <w:pPr>
              <w:pStyle w:val="TableParagraph"/>
              <w:rPr>
                <w:sz w:val="24"/>
              </w:rPr>
            </w:pPr>
            <w:r>
              <w:rPr>
                <w:spacing w:val="-5"/>
                <w:sz w:val="24"/>
              </w:rPr>
              <w:t>R&amp;D</w:t>
            </w:r>
          </w:p>
        </w:tc>
      </w:tr>
      <w:tr>
        <w:trPr>
          <w:trHeight w:val="551" w:hRule="atLeast"/>
        </w:trPr>
        <w:tc>
          <w:tcPr>
            <w:tcW w:w="3867" w:type="dxa"/>
          </w:tcPr>
          <w:p>
            <w:pPr>
              <w:pStyle w:val="TableParagraph"/>
              <w:spacing w:line="270" w:lineRule="exact"/>
              <w:ind w:left="107"/>
              <w:rPr>
                <w:sz w:val="24"/>
              </w:rPr>
            </w:pPr>
            <w:r>
              <w:rPr>
                <w:sz w:val="24"/>
              </w:rPr>
              <w:t>Establish</w:t>
            </w:r>
            <w:r>
              <w:rPr>
                <w:spacing w:val="-1"/>
                <w:sz w:val="24"/>
              </w:rPr>
              <w:t> </w:t>
            </w:r>
            <w:r>
              <w:rPr>
                <w:sz w:val="24"/>
              </w:rPr>
              <w:t>External </w:t>
            </w:r>
            <w:r>
              <w:rPr>
                <w:spacing w:val="-2"/>
                <w:sz w:val="24"/>
              </w:rPr>
              <w:t>Review</w:t>
            </w:r>
          </w:p>
          <w:p>
            <w:pPr>
              <w:pStyle w:val="TableParagraph"/>
              <w:spacing w:line="261" w:lineRule="exact"/>
              <w:ind w:left="107"/>
              <w:rPr>
                <w:sz w:val="24"/>
              </w:rPr>
            </w:pPr>
            <w:r>
              <w:rPr>
                <w:spacing w:val="-2"/>
                <w:sz w:val="24"/>
              </w:rPr>
              <w:t>Committee</w:t>
            </w:r>
          </w:p>
        </w:tc>
        <w:tc>
          <w:tcPr>
            <w:tcW w:w="3240" w:type="dxa"/>
          </w:tcPr>
          <w:p>
            <w:pPr>
              <w:pStyle w:val="TableParagraph"/>
              <w:spacing w:line="270" w:lineRule="exact"/>
              <w:rPr>
                <w:sz w:val="24"/>
              </w:rPr>
            </w:pPr>
            <w:r>
              <w:rPr>
                <w:sz w:val="24"/>
              </w:rPr>
              <w:t>October</w:t>
            </w:r>
            <w:r>
              <w:rPr>
                <w:spacing w:val="-4"/>
                <w:sz w:val="24"/>
              </w:rPr>
              <w:t> </w:t>
            </w:r>
            <w:r>
              <w:rPr>
                <w:spacing w:val="-5"/>
                <w:sz w:val="24"/>
              </w:rPr>
              <w:t>31</w:t>
            </w:r>
          </w:p>
        </w:tc>
        <w:tc>
          <w:tcPr>
            <w:tcW w:w="2244" w:type="dxa"/>
          </w:tcPr>
          <w:p>
            <w:pPr>
              <w:pStyle w:val="TableParagraph"/>
              <w:spacing w:line="270" w:lineRule="exact"/>
              <w:rPr>
                <w:sz w:val="24"/>
              </w:rPr>
            </w:pPr>
            <w:r>
              <w:rPr>
                <w:spacing w:val="-5"/>
                <w:sz w:val="24"/>
              </w:rPr>
              <w:t>R&amp;D</w:t>
            </w:r>
          </w:p>
        </w:tc>
      </w:tr>
      <w:tr>
        <w:trPr>
          <w:trHeight w:val="275" w:hRule="atLeast"/>
        </w:trPr>
        <w:tc>
          <w:tcPr>
            <w:tcW w:w="3867" w:type="dxa"/>
          </w:tcPr>
          <w:p>
            <w:pPr>
              <w:pStyle w:val="TableParagraph"/>
              <w:ind w:left="107"/>
              <w:rPr>
                <w:sz w:val="24"/>
              </w:rPr>
            </w:pPr>
            <w:r>
              <w:rPr>
                <w:sz w:val="24"/>
              </w:rPr>
              <w:t>Self-Study</w:t>
            </w:r>
            <w:r>
              <w:rPr>
                <w:spacing w:val="-5"/>
                <w:sz w:val="24"/>
              </w:rPr>
              <w:t> </w:t>
            </w:r>
            <w:r>
              <w:rPr>
                <w:spacing w:val="-2"/>
                <w:sz w:val="24"/>
              </w:rPr>
              <w:t>Report</w:t>
            </w:r>
          </w:p>
        </w:tc>
        <w:tc>
          <w:tcPr>
            <w:tcW w:w="3240" w:type="dxa"/>
          </w:tcPr>
          <w:p>
            <w:pPr>
              <w:pStyle w:val="TableParagraph"/>
              <w:rPr>
                <w:sz w:val="24"/>
              </w:rPr>
            </w:pPr>
            <w:r>
              <w:rPr>
                <w:sz w:val="24"/>
              </w:rPr>
              <w:t>December</w:t>
            </w:r>
            <w:r>
              <w:rPr>
                <w:spacing w:val="-5"/>
                <w:sz w:val="24"/>
              </w:rPr>
              <w:t> </w:t>
            </w:r>
            <w:r>
              <w:rPr>
                <w:spacing w:val="-7"/>
                <w:sz w:val="24"/>
              </w:rPr>
              <w:t>15</w:t>
            </w:r>
          </w:p>
        </w:tc>
        <w:tc>
          <w:tcPr>
            <w:tcW w:w="2244" w:type="dxa"/>
          </w:tcPr>
          <w:p>
            <w:pPr>
              <w:pStyle w:val="TableParagraph"/>
              <w:rPr>
                <w:sz w:val="24"/>
              </w:rPr>
            </w:pPr>
            <w:r>
              <w:rPr>
                <w:sz w:val="24"/>
              </w:rPr>
              <w:t>C</w:t>
            </w:r>
          </w:p>
        </w:tc>
      </w:tr>
      <w:tr>
        <w:trPr>
          <w:trHeight w:val="551" w:hRule="atLeast"/>
        </w:trPr>
        <w:tc>
          <w:tcPr>
            <w:tcW w:w="3867" w:type="dxa"/>
          </w:tcPr>
          <w:p>
            <w:pPr>
              <w:pStyle w:val="TableParagraph"/>
              <w:spacing w:line="270" w:lineRule="exact"/>
              <w:ind w:left="107"/>
              <w:rPr>
                <w:sz w:val="24"/>
              </w:rPr>
            </w:pPr>
            <w:r>
              <w:rPr>
                <w:sz w:val="24"/>
              </w:rPr>
              <w:t>Schedule</w:t>
            </w:r>
            <w:r>
              <w:rPr>
                <w:spacing w:val="-2"/>
                <w:sz w:val="24"/>
              </w:rPr>
              <w:t> </w:t>
            </w:r>
            <w:r>
              <w:rPr>
                <w:sz w:val="24"/>
              </w:rPr>
              <w:t>for</w:t>
            </w:r>
            <w:r>
              <w:rPr>
                <w:spacing w:val="-2"/>
                <w:sz w:val="24"/>
              </w:rPr>
              <w:t> </w:t>
            </w:r>
            <w:r>
              <w:rPr>
                <w:sz w:val="24"/>
              </w:rPr>
              <w:t>External</w:t>
            </w:r>
            <w:r>
              <w:rPr>
                <w:spacing w:val="-1"/>
                <w:sz w:val="24"/>
              </w:rPr>
              <w:t> </w:t>
            </w:r>
            <w:r>
              <w:rPr>
                <w:spacing w:val="-2"/>
                <w:sz w:val="24"/>
              </w:rPr>
              <w:t>Review</w:t>
            </w:r>
          </w:p>
          <w:p>
            <w:pPr>
              <w:pStyle w:val="TableParagraph"/>
              <w:spacing w:line="261" w:lineRule="exact"/>
              <w:ind w:left="107"/>
              <w:rPr>
                <w:sz w:val="24"/>
              </w:rPr>
            </w:pPr>
            <w:r>
              <w:rPr>
                <w:sz w:val="24"/>
              </w:rPr>
              <w:t>Committee</w:t>
            </w:r>
            <w:r>
              <w:rPr>
                <w:spacing w:val="-1"/>
                <w:sz w:val="24"/>
              </w:rPr>
              <w:t> </w:t>
            </w:r>
            <w:r>
              <w:rPr>
                <w:spacing w:val="-2"/>
                <w:sz w:val="24"/>
              </w:rPr>
              <w:t>Visit</w:t>
            </w:r>
          </w:p>
        </w:tc>
        <w:tc>
          <w:tcPr>
            <w:tcW w:w="3240" w:type="dxa"/>
          </w:tcPr>
          <w:p>
            <w:pPr>
              <w:pStyle w:val="TableParagraph"/>
              <w:spacing w:line="270" w:lineRule="exact"/>
              <w:rPr>
                <w:sz w:val="24"/>
              </w:rPr>
            </w:pPr>
            <w:r>
              <w:rPr>
                <w:sz w:val="24"/>
              </w:rPr>
              <w:t>December</w:t>
            </w:r>
            <w:r>
              <w:rPr>
                <w:spacing w:val="-4"/>
                <w:sz w:val="24"/>
              </w:rPr>
              <w:t> </w:t>
            </w:r>
            <w:r>
              <w:rPr>
                <w:spacing w:val="-5"/>
                <w:sz w:val="24"/>
              </w:rPr>
              <w:t>15</w:t>
            </w:r>
          </w:p>
        </w:tc>
        <w:tc>
          <w:tcPr>
            <w:tcW w:w="2244" w:type="dxa"/>
          </w:tcPr>
          <w:p>
            <w:pPr>
              <w:pStyle w:val="TableParagraph"/>
              <w:spacing w:line="270" w:lineRule="exact"/>
              <w:rPr>
                <w:sz w:val="24"/>
              </w:rPr>
            </w:pPr>
            <w:r>
              <w:rPr>
                <w:sz w:val="24"/>
              </w:rPr>
              <w:t>R&amp;D;</w:t>
            </w:r>
            <w:r>
              <w:rPr>
                <w:spacing w:val="-2"/>
                <w:sz w:val="24"/>
              </w:rPr>
              <w:t> </w:t>
            </w:r>
            <w:r>
              <w:rPr>
                <w:spacing w:val="-10"/>
                <w:sz w:val="24"/>
              </w:rPr>
              <w:t>C</w:t>
            </w:r>
          </w:p>
        </w:tc>
      </w:tr>
      <w:tr>
        <w:trPr>
          <w:trHeight w:val="551" w:hRule="atLeast"/>
        </w:trPr>
        <w:tc>
          <w:tcPr>
            <w:tcW w:w="3867" w:type="dxa"/>
          </w:tcPr>
          <w:p>
            <w:pPr>
              <w:pStyle w:val="TableParagraph"/>
              <w:spacing w:line="270" w:lineRule="exact"/>
              <w:ind w:left="107"/>
              <w:rPr>
                <w:sz w:val="24"/>
              </w:rPr>
            </w:pPr>
            <w:r>
              <w:rPr>
                <w:sz w:val="24"/>
              </w:rPr>
              <w:t>Send Self Study</w:t>
            </w:r>
            <w:r>
              <w:rPr>
                <w:spacing w:val="-5"/>
                <w:sz w:val="24"/>
              </w:rPr>
              <w:t> </w:t>
            </w:r>
            <w:r>
              <w:rPr>
                <w:sz w:val="24"/>
              </w:rPr>
              <w:t>to </w:t>
            </w:r>
            <w:r>
              <w:rPr>
                <w:spacing w:val="-2"/>
                <w:sz w:val="24"/>
              </w:rPr>
              <w:t>External</w:t>
            </w:r>
          </w:p>
          <w:p>
            <w:pPr>
              <w:pStyle w:val="TableParagraph"/>
              <w:spacing w:line="261" w:lineRule="exact"/>
              <w:ind w:left="107"/>
              <w:rPr>
                <w:sz w:val="24"/>
              </w:rPr>
            </w:pPr>
            <w:r>
              <w:rPr>
                <w:sz w:val="24"/>
              </w:rPr>
              <w:t>Reviewers</w:t>
            </w:r>
            <w:r>
              <w:rPr>
                <w:spacing w:val="-4"/>
                <w:sz w:val="24"/>
              </w:rPr>
              <w:t> </w:t>
            </w:r>
            <w:r>
              <w:rPr>
                <w:sz w:val="24"/>
              </w:rPr>
              <w:t>and</w:t>
            </w:r>
            <w:r>
              <w:rPr>
                <w:spacing w:val="-1"/>
                <w:sz w:val="24"/>
              </w:rPr>
              <w:t> </w:t>
            </w:r>
            <w:r>
              <w:rPr>
                <w:spacing w:val="-2"/>
                <w:sz w:val="24"/>
              </w:rPr>
              <w:t>Deans</w:t>
            </w:r>
          </w:p>
        </w:tc>
        <w:tc>
          <w:tcPr>
            <w:tcW w:w="3240" w:type="dxa"/>
          </w:tcPr>
          <w:p>
            <w:pPr>
              <w:pStyle w:val="TableParagraph"/>
              <w:spacing w:line="270" w:lineRule="exact"/>
              <w:rPr>
                <w:sz w:val="24"/>
              </w:rPr>
            </w:pPr>
            <w:r>
              <w:rPr>
                <w:sz w:val="24"/>
              </w:rPr>
              <w:t>Thirty</w:t>
            </w:r>
            <w:r>
              <w:rPr>
                <w:spacing w:val="-5"/>
                <w:sz w:val="24"/>
              </w:rPr>
              <w:t> </w:t>
            </w:r>
            <w:r>
              <w:rPr>
                <w:sz w:val="24"/>
              </w:rPr>
              <w:t>Days Prior</w:t>
            </w:r>
            <w:r>
              <w:rPr>
                <w:spacing w:val="-1"/>
                <w:sz w:val="24"/>
              </w:rPr>
              <w:t> </w:t>
            </w:r>
            <w:r>
              <w:rPr>
                <w:sz w:val="24"/>
              </w:rPr>
              <w:t>to</w:t>
            </w:r>
            <w:r>
              <w:rPr>
                <w:spacing w:val="2"/>
                <w:sz w:val="24"/>
              </w:rPr>
              <w:t> </w:t>
            </w:r>
            <w:r>
              <w:rPr>
                <w:spacing w:val="-2"/>
                <w:sz w:val="24"/>
              </w:rPr>
              <w:t>Review</w:t>
            </w:r>
          </w:p>
          <w:p>
            <w:pPr>
              <w:pStyle w:val="TableParagraph"/>
              <w:spacing w:line="261" w:lineRule="exact"/>
              <w:rPr>
                <w:sz w:val="24"/>
              </w:rPr>
            </w:pPr>
            <w:r>
              <w:rPr>
                <w:sz w:val="24"/>
              </w:rPr>
              <w:t>Committee’s</w:t>
            </w:r>
            <w:r>
              <w:rPr>
                <w:spacing w:val="-3"/>
                <w:sz w:val="24"/>
              </w:rPr>
              <w:t> </w:t>
            </w:r>
            <w:r>
              <w:rPr>
                <w:spacing w:val="-2"/>
                <w:sz w:val="24"/>
              </w:rPr>
              <w:t>Visit</w:t>
            </w:r>
          </w:p>
        </w:tc>
        <w:tc>
          <w:tcPr>
            <w:tcW w:w="2244" w:type="dxa"/>
          </w:tcPr>
          <w:p>
            <w:pPr>
              <w:pStyle w:val="TableParagraph"/>
              <w:spacing w:line="270" w:lineRule="exact"/>
              <w:rPr>
                <w:sz w:val="24"/>
              </w:rPr>
            </w:pPr>
            <w:r>
              <w:rPr>
                <w:spacing w:val="-5"/>
                <w:sz w:val="24"/>
              </w:rPr>
              <w:t>R&amp;D</w:t>
            </w:r>
          </w:p>
        </w:tc>
      </w:tr>
      <w:tr>
        <w:trPr>
          <w:trHeight w:val="277" w:hRule="atLeast"/>
        </w:trPr>
        <w:tc>
          <w:tcPr>
            <w:tcW w:w="3867" w:type="dxa"/>
          </w:tcPr>
          <w:p>
            <w:pPr>
              <w:pStyle w:val="TableParagraph"/>
              <w:spacing w:line="258" w:lineRule="exact"/>
              <w:ind w:left="107"/>
              <w:rPr>
                <w:sz w:val="24"/>
              </w:rPr>
            </w:pPr>
            <w:r>
              <w:rPr>
                <w:sz w:val="24"/>
              </w:rPr>
              <w:t>External</w:t>
            </w:r>
            <w:r>
              <w:rPr>
                <w:spacing w:val="-4"/>
                <w:sz w:val="24"/>
              </w:rPr>
              <w:t> </w:t>
            </w:r>
            <w:r>
              <w:rPr>
                <w:sz w:val="24"/>
              </w:rPr>
              <w:t>Review</w:t>
            </w:r>
            <w:r>
              <w:rPr>
                <w:spacing w:val="-2"/>
                <w:sz w:val="24"/>
              </w:rPr>
              <w:t> Visit</w:t>
            </w:r>
          </w:p>
        </w:tc>
        <w:tc>
          <w:tcPr>
            <w:tcW w:w="3240" w:type="dxa"/>
          </w:tcPr>
          <w:p>
            <w:pPr>
              <w:pStyle w:val="TableParagraph"/>
              <w:spacing w:line="258" w:lineRule="exact"/>
              <w:rPr>
                <w:sz w:val="24"/>
              </w:rPr>
            </w:pPr>
            <w:r>
              <w:rPr>
                <w:sz w:val="24"/>
              </w:rPr>
              <w:t>Prior</w:t>
            </w:r>
            <w:r>
              <w:rPr>
                <w:spacing w:val="-3"/>
                <w:sz w:val="24"/>
              </w:rPr>
              <w:t> </w:t>
            </w:r>
            <w:r>
              <w:rPr>
                <w:sz w:val="24"/>
              </w:rPr>
              <w:t>to Spring</w:t>
            </w:r>
            <w:r>
              <w:rPr>
                <w:spacing w:val="-3"/>
                <w:sz w:val="24"/>
              </w:rPr>
              <w:t> </w:t>
            </w:r>
            <w:r>
              <w:rPr>
                <w:spacing w:val="-4"/>
                <w:sz w:val="24"/>
              </w:rPr>
              <w:t>Break</w:t>
            </w:r>
          </w:p>
        </w:tc>
        <w:tc>
          <w:tcPr>
            <w:tcW w:w="2244" w:type="dxa"/>
          </w:tcPr>
          <w:p>
            <w:pPr>
              <w:pStyle w:val="TableParagraph"/>
              <w:spacing w:line="258" w:lineRule="exact"/>
              <w:rPr>
                <w:sz w:val="24"/>
              </w:rPr>
            </w:pPr>
            <w:r>
              <w:rPr>
                <w:sz w:val="24"/>
              </w:rPr>
              <w:t>C; SOE; </w:t>
            </w:r>
            <w:r>
              <w:rPr>
                <w:spacing w:val="-5"/>
                <w:sz w:val="24"/>
              </w:rPr>
              <w:t>R&amp;D</w:t>
            </w:r>
          </w:p>
        </w:tc>
      </w:tr>
      <w:tr>
        <w:trPr>
          <w:trHeight w:val="275" w:hRule="atLeast"/>
        </w:trPr>
        <w:tc>
          <w:tcPr>
            <w:tcW w:w="3867" w:type="dxa"/>
          </w:tcPr>
          <w:p>
            <w:pPr>
              <w:pStyle w:val="TableParagraph"/>
              <w:ind w:left="107"/>
              <w:rPr>
                <w:sz w:val="24"/>
              </w:rPr>
            </w:pPr>
            <w:r>
              <w:rPr>
                <w:sz w:val="24"/>
              </w:rPr>
              <w:t>External</w:t>
            </w:r>
            <w:r>
              <w:rPr>
                <w:spacing w:val="-4"/>
                <w:sz w:val="24"/>
              </w:rPr>
              <w:t> </w:t>
            </w:r>
            <w:r>
              <w:rPr>
                <w:sz w:val="24"/>
              </w:rPr>
              <w:t>Review</w:t>
            </w:r>
            <w:r>
              <w:rPr>
                <w:spacing w:val="-2"/>
                <w:sz w:val="24"/>
              </w:rPr>
              <w:t> Report</w:t>
            </w:r>
          </w:p>
        </w:tc>
        <w:tc>
          <w:tcPr>
            <w:tcW w:w="3240" w:type="dxa"/>
          </w:tcPr>
          <w:p>
            <w:pPr>
              <w:pStyle w:val="TableParagraph"/>
              <w:rPr>
                <w:sz w:val="24"/>
              </w:rPr>
            </w:pPr>
            <w:r>
              <w:rPr>
                <w:sz w:val="24"/>
              </w:rPr>
              <w:t>Two-Weeks</w:t>
            </w:r>
            <w:r>
              <w:rPr>
                <w:spacing w:val="-4"/>
                <w:sz w:val="24"/>
              </w:rPr>
              <w:t> </w:t>
            </w:r>
            <w:r>
              <w:rPr>
                <w:sz w:val="24"/>
              </w:rPr>
              <w:t>After</w:t>
            </w:r>
            <w:r>
              <w:rPr>
                <w:spacing w:val="-1"/>
                <w:sz w:val="24"/>
              </w:rPr>
              <w:t> </w:t>
            </w:r>
            <w:r>
              <w:rPr>
                <w:spacing w:val="-2"/>
                <w:sz w:val="24"/>
              </w:rPr>
              <w:t>Visit</w:t>
            </w:r>
          </w:p>
        </w:tc>
        <w:tc>
          <w:tcPr>
            <w:tcW w:w="2244" w:type="dxa"/>
          </w:tcPr>
          <w:p>
            <w:pPr>
              <w:pStyle w:val="TableParagraph"/>
              <w:rPr>
                <w:sz w:val="24"/>
              </w:rPr>
            </w:pPr>
            <w:r>
              <w:rPr>
                <w:spacing w:val="-5"/>
                <w:sz w:val="24"/>
              </w:rPr>
              <w:t>ERC</w:t>
            </w:r>
          </w:p>
        </w:tc>
      </w:tr>
      <w:tr>
        <w:trPr>
          <w:trHeight w:val="275" w:hRule="atLeast"/>
        </w:trPr>
        <w:tc>
          <w:tcPr>
            <w:tcW w:w="3867" w:type="dxa"/>
          </w:tcPr>
          <w:p>
            <w:pPr>
              <w:pStyle w:val="TableParagraph"/>
              <w:ind w:left="107"/>
              <w:rPr>
                <w:sz w:val="24"/>
              </w:rPr>
            </w:pPr>
            <w:r>
              <w:rPr>
                <w:sz w:val="24"/>
              </w:rPr>
              <w:t>Strategic</w:t>
            </w:r>
            <w:r>
              <w:rPr>
                <w:spacing w:val="-5"/>
                <w:sz w:val="24"/>
              </w:rPr>
              <w:t> </w:t>
            </w:r>
            <w:r>
              <w:rPr>
                <w:spacing w:val="-4"/>
                <w:sz w:val="24"/>
              </w:rPr>
              <w:t>Plan</w:t>
            </w:r>
          </w:p>
        </w:tc>
        <w:tc>
          <w:tcPr>
            <w:tcW w:w="3240" w:type="dxa"/>
          </w:tcPr>
          <w:p>
            <w:pPr>
              <w:pStyle w:val="TableParagraph"/>
              <w:rPr>
                <w:sz w:val="24"/>
              </w:rPr>
            </w:pPr>
            <w:r>
              <w:rPr>
                <w:sz w:val="24"/>
              </w:rPr>
              <w:t>End of</w:t>
            </w:r>
            <w:r>
              <w:rPr>
                <w:spacing w:val="-1"/>
                <w:sz w:val="24"/>
              </w:rPr>
              <w:t> </w:t>
            </w:r>
            <w:r>
              <w:rPr>
                <w:sz w:val="24"/>
              </w:rPr>
              <w:t>Spring</w:t>
            </w:r>
            <w:r>
              <w:rPr>
                <w:spacing w:val="-3"/>
                <w:sz w:val="24"/>
              </w:rPr>
              <w:t> </w:t>
            </w:r>
            <w:r>
              <w:rPr>
                <w:spacing w:val="-2"/>
                <w:sz w:val="24"/>
              </w:rPr>
              <w:t>Semester</w:t>
            </w:r>
          </w:p>
        </w:tc>
        <w:tc>
          <w:tcPr>
            <w:tcW w:w="2244" w:type="dxa"/>
          </w:tcPr>
          <w:p>
            <w:pPr>
              <w:pStyle w:val="TableParagraph"/>
              <w:rPr>
                <w:sz w:val="24"/>
              </w:rPr>
            </w:pPr>
            <w:r>
              <w:rPr>
                <w:sz w:val="24"/>
              </w:rPr>
              <w:t>C</w:t>
            </w:r>
          </w:p>
        </w:tc>
      </w:tr>
    </w:tbl>
    <w:sectPr>
      <w:pgSz w:w="12240" w:h="15840"/>
      <w:pgMar w:header="725" w:footer="1066" w:top="1340" w:bottom="1260" w:left="134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88000">
              <wp:simplePos x="0" y="0"/>
              <wp:positionH relativeFrom="page">
                <wp:posOffset>3810634</wp:posOffset>
              </wp:positionH>
              <wp:positionV relativeFrom="page">
                <wp:posOffset>9242077</wp:posOffset>
              </wp:positionV>
              <wp:extent cx="165100" cy="1943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65100" cy="194310"/>
                      </a:xfrm>
                      <a:prstGeom prst="rect">
                        <a:avLst/>
                      </a:prstGeom>
                    </wps:spPr>
                    <wps:txbx>
                      <w:txbxContent>
                        <w:p>
                          <w:pPr>
                            <w:pStyle w:val="BodyText"/>
                            <w:spacing w:before="10"/>
                            <w:ind w:left="60"/>
                          </w:pPr>
                          <w:r>
                            <w:rPr/>
                            <w:fldChar w:fldCharType="begin"/>
                          </w:r>
                          <w:r>
                            <w:rPr/>
                            <w:instrText> PAGE </w:instrText>
                          </w:r>
                          <w:r>
                            <w:rPr/>
                            <w:fldChar w:fldCharType="separate"/>
                          </w:r>
                          <w:r>
                            <w:rPr/>
                            <w:t>1</w:t>
                          </w:r>
                          <w:r>
                            <w:rPr/>
                            <w:fldChar w:fldCharType="end"/>
                          </w:r>
                        </w:p>
                      </w:txbxContent>
                    </wps:txbx>
                    <wps:bodyPr wrap="square" lIns="0" tIns="0" rIns="0" bIns="0" rtlCol="0">
                      <a:noAutofit/>
                    </wps:bodyPr>
                  </wps:wsp>
                </a:graphicData>
              </a:graphic>
            </wp:anchor>
          </w:drawing>
        </mc:Choice>
        <mc:Fallback>
          <w:pict>
            <v:shape style="position:absolute;margin-left:300.049988pt;margin-top:727.722656pt;width:13pt;height:15.3pt;mso-position-horizontal-relative:page;mso-position-vertical-relative:page;z-index:-15828480" type="#_x0000_t202" id="docshape2" filled="false" stroked="false">
              <v:textbox inset="0,0,0,0">
                <w:txbxContent>
                  <w:p>
                    <w:pPr>
                      <w:pStyle w:val="BodyText"/>
                      <w:spacing w:before="10"/>
                      <w:ind w:left="60"/>
                    </w:pPr>
                    <w:r>
                      <w:rPr/>
                      <w:fldChar w:fldCharType="begin"/>
                    </w:r>
                    <w:r>
                      <w:rPr/>
                      <w:instrText> PAGE </w:instrText>
                    </w:r>
                    <w:r>
                      <w:rPr/>
                      <w:fldChar w:fldCharType="separate"/>
                    </w:r>
                    <w:r>
                      <w:rPr/>
                      <w:t>1</w:t>
                    </w:r>
                    <w:r>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87488">
              <wp:simplePos x="0" y="0"/>
              <wp:positionH relativeFrom="page">
                <wp:posOffset>6503669</wp:posOffset>
              </wp:positionH>
              <wp:positionV relativeFrom="page">
                <wp:posOffset>447378</wp:posOffset>
              </wp:positionV>
              <wp:extent cx="368300"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368300" cy="194310"/>
                      </a:xfrm>
                      <a:prstGeom prst="rect">
                        <a:avLst/>
                      </a:prstGeom>
                    </wps:spPr>
                    <wps:txbx>
                      <w:txbxContent>
                        <w:p>
                          <w:pPr>
                            <w:pStyle w:val="BodyText"/>
                            <w:spacing w:before="10"/>
                            <w:ind w:left="20"/>
                          </w:pPr>
                          <w:r>
                            <w:rPr>
                              <w:spacing w:val="-2"/>
                            </w:rPr>
                            <w:t>19.21</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12.099976pt;margin-top:35.226639pt;width:29pt;height:15.3pt;mso-position-horizontal-relative:page;mso-position-vertical-relative:page;z-index:-15828992" type="#_x0000_t202" id="docshape1" filled="false" stroked="false">
              <v:textbox inset="0,0,0,0">
                <w:txbxContent>
                  <w:p>
                    <w:pPr>
                      <w:pStyle w:val="BodyText"/>
                      <w:spacing w:before="10"/>
                      <w:ind w:left="20"/>
                    </w:pPr>
                    <w:r>
                      <w:rPr>
                        <w:spacing w:val="-2"/>
                      </w:rPr>
                      <w:t>19.21</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00" w:hanging="2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decimal"/>
      <w:lvlText w:val="%2."/>
      <w:lvlJc w:val="left"/>
      <w:pPr>
        <w:ind w:left="118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2113" w:hanging="360"/>
      </w:pPr>
      <w:rPr>
        <w:rFonts w:hint="default"/>
        <w:lang w:val="en-US" w:eastAsia="en-US" w:bidi="ar-SA"/>
      </w:rPr>
    </w:lvl>
    <w:lvl w:ilvl="3">
      <w:start w:val="0"/>
      <w:numFmt w:val="bullet"/>
      <w:lvlText w:val="•"/>
      <w:lvlJc w:val="left"/>
      <w:pPr>
        <w:ind w:left="3046" w:hanging="360"/>
      </w:pPr>
      <w:rPr>
        <w:rFonts w:hint="default"/>
        <w:lang w:val="en-US" w:eastAsia="en-US" w:bidi="ar-SA"/>
      </w:rPr>
    </w:lvl>
    <w:lvl w:ilvl="4">
      <w:start w:val="0"/>
      <w:numFmt w:val="bullet"/>
      <w:lvlText w:val="•"/>
      <w:lvlJc w:val="left"/>
      <w:pPr>
        <w:ind w:left="3980" w:hanging="360"/>
      </w:pPr>
      <w:rPr>
        <w:rFonts w:hint="default"/>
        <w:lang w:val="en-US" w:eastAsia="en-US" w:bidi="ar-SA"/>
      </w:rPr>
    </w:lvl>
    <w:lvl w:ilvl="5">
      <w:start w:val="0"/>
      <w:numFmt w:val="bullet"/>
      <w:lvlText w:val="•"/>
      <w:lvlJc w:val="left"/>
      <w:pPr>
        <w:ind w:left="4913" w:hanging="360"/>
      </w:pPr>
      <w:rPr>
        <w:rFonts w:hint="default"/>
        <w:lang w:val="en-US" w:eastAsia="en-US" w:bidi="ar-SA"/>
      </w:rPr>
    </w:lvl>
    <w:lvl w:ilvl="6">
      <w:start w:val="0"/>
      <w:numFmt w:val="bullet"/>
      <w:lvlText w:val="•"/>
      <w:lvlJc w:val="left"/>
      <w:pPr>
        <w:ind w:left="5846" w:hanging="360"/>
      </w:pPr>
      <w:rPr>
        <w:rFonts w:hint="default"/>
        <w:lang w:val="en-US" w:eastAsia="en-US" w:bidi="ar-SA"/>
      </w:rPr>
    </w:lvl>
    <w:lvl w:ilvl="7">
      <w:start w:val="0"/>
      <w:numFmt w:val="bullet"/>
      <w:lvlText w:val="•"/>
      <w:lvlJc w:val="left"/>
      <w:pPr>
        <w:ind w:left="6780" w:hanging="360"/>
      </w:pPr>
      <w:rPr>
        <w:rFonts w:hint="default"/>
        <w:lang w:val="en-US" w:eastAsia="en-US" w:bidi="ar-SA"/>
      </w:rPr>
    </w:lvl>
    <w:lvl w:ilvl="8">
      <w:start w:val="0"/>
      <w:numFmt w:val="bullet"/>
      <w:lvlText w:val="•"/>
      <w:lvlJc w:val="left"/>
      <w:pPr>
        <w:ind w:left="7713"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Title" w:type="paragraph">
    <w:name w:val="Title"/>
    <w:basedOn w:val="Normal"/>
    <w:uiPriority w:val="1"/>
    <w:qFormat/>
    <w:pPr>
      <w:spacing w:before="84" w:line="274" w:lineRule="exact"/>
      <w:ind w:left="767" w:right="785"/>
      <w:jc w:val="center"/>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left="10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line="256" w:lineRule="exact"/>
      <w:ind w:left="105"/>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http://www.iu.edu/~vpr/centers_policy.shtml"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rdsherwo</dc:creator>
  <dcterms:created xsi:type="dcterms:W3CDTF">2023-11-30T18:44:32Z</dcterms:created>
  <dcterms:modified xsi:type="dcterms:W3CDTF">2023-11-30T18:44:32Z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2018-10-29T00:00:00Z</vt:filetime>
  </property>
  <property fmtid="{D5CDD505-2E9C-101B-9397-08002B2CF9AE}" pid="3" name="Creator">
    <vt:lpwstr>Microsoft® Word 2016</vt:lpwstr>
  </property>
  <property fmtid="{D5CDD505-2E9C-101B-9397-08002B2CF9AE}" pid="4" name="LastSaved">
    <vt:filetime>2023-11-30T00:00:00Z</vt:filetime>
  </property>
  <property fmtid="{D5CDD505-2E9C-101B-9397-08002B2CF9AE}" pid="5" name="Producer">
    <vt:lpwstr>Microsoft® Word 2016</vt:lpwstr>
  </property>
</Properties>
</file>