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0" w:right="114" w:firstLine="0"/>
        <w:jc w:val="right"/>
        <w:rPr>
          <w:sz w:val="22"/>
        </w:rPr>
      </w:pPr>
      <w:r>
        <w:rPr>
          <w:spacing w:val="-2"/>
          <w:sz w:val="22"/>
        </w:rPr>
        <w:t>19.55</w:t>
      </w:r>
    </w:p>
    <w:p>
      <w:pPr>
        <w:pStyle w:val="BodyText"/>
        <w:rPr>
          <w:sz w:val="20"/>
        </w:rPr>
      </w:pPr>
    </w:p>
    <w:p>
      <w:pPr>
        <w:pStyle w:val="BodyText"/>
        <w:rPr>
          <w:sz w:val="20"/>
        </w:rPr>
      </w:pPr>
    </w:p>
    <w:p>
      <w:pPr>
        <w:pStyle w:val="Title"/>
        <w:spacing w:before="207"/>
      </w:pPr>
      <w:r>
        <w:rPr/>
        <w:t>IU</w:t>
      </w:r>
      <w:r>
        <w:rPr>
          <w:spacing w:val="-1"/>
        </w:rPr>
        <w:t> </w:t>
      </w:r>
      <w:r>
        <w:rPr/>
        <w:t>Bloomington</w:t>
      </w:r>
      <w:r>
        <w:rPr>
          <w:spacing w:val="-1"/>
        </w:rPr>
        <w:t> </w:t>
      </w:r>
      <w:r>
        <w:rPr/>
        <w:t>School</w:t>
      </w:r>
      <w:r>
        <w:rPr>
          <w:spacing w:val="-1"/>
        </w:rPr>
        <w:t> </w:t>
      </w:r>
      <w:r>
        <w:rPr/>
        <w:t>of </w:t>
      </w:r>
      <w:r>
        <w:rPr>
          <w:spacing w:val="-2"/>
        </w:rPr>
        <w:t>Education</w:t>
      </w:r>
    </w:p>
    <w:p>
      <w:pPr>
        <w:pStyle w:val="Title"/>
        <w:ind w:right="1599"/>
      </w:pPr>
      <w:r>
        <w:rPr/>
        <w:t>Policy</w:t>
      </w:r>
      <w:r>
        <w:rPr>
          <w:spacing w:val="-8"/>
        </w:rPr>
        <w:t> </w:t>
      </w:r>
      <w:r>
        <w:rPr/>
        <w:t>Regarding</w:t>
      </w:r>
      <w:r>
        <w:rPr>
          <w:spacing w:val="-8"/>
        </w:rPr>
        <w:t> </w:t>
      </w:r>
      <w:r>
        <w:rPr/>
        <w:t>Appointment</w:t>
      </w:r>
      <w:r>
        <w:rPr>
          <w:spacing w:val="-8"/>
        </w:rPr>
        <w:t> </w:t>
      </w:r>
      <w:r>
        <w:rPr/>
        <w:t>to</w:t>
      </w:r>
      <w:r>
        <w:rPr>
          <w:spacing w:val="-6"/>
        </w:rPr>
        <w:t> </w:t>
      </w:r>
      <w:r>
        <w:rPr/>
        <w:t>Graduate</w:t>
      </w:r>
      <w:r>
        <w:rPr>
          <w:spacing w:val="-8"/>
        </w:rPr>
        <w:t> </w:t>
      </w:r>
      <w:r>
        <w:rPr/>
        <w:t>Faculty</w:t>
      </w:r>
      <w:r>
        <w:rPr>
          <w:spacing w:val="-8"/>
        </w:rPr>
        <w:t> </w:t>
      </w:r>
      <w:r>
        <w:rPr/>
        <w:t>Status and Endorsement to Direct and/or Chair Dissertations</w:t>
      </w:r>
    </w:p>
    <w:p>
      <w:pPr>
        <w:pStyle w:val="BodyText"/>
        <w:rPr>
          <w:b/>
          <w:sz w:val="26"/>
        </w:rPr>
      </w:pPr>
    </w:p>
    <w:p>
      <w:pPr>
        <w:pStyle w:val="BodyText"/>
        <w:spacing w:before="4"/>
        <w:rPr>
          <w:b/>
          <w:sz w:val="21"/>
        </w:rPr>
      </w:pPr>
    </w:p>
    <w:p>
      <w:pPr>
        <w:pStyle w:val="BodyText"/>
        <w:ind w:left="100" w:right="369" w:firstLine="719"/>
      </w:pPr>
      <w:r>
        <w:rPr/>
        <w:t>According to University Graduate School rules regarding Graduate School Faculty membership, all tenure-track faculty members are automatically awarded graduate</w:t>
      </w:r>
      <w:r>
        <w:rPr>
          <w:spacing w:val="-2"/>
        </w:rPr>
        <w:t> </w:t>
      </w:r>
      <w:r>
        <w:rPr/>
        <w:t>faculty</w:t>
      </w:r>
      <w:r>
        <w:rPr>
          <w:spacing w:val="-8"/>
        </w:rPr>
        <w:t> </w:t>
      </w:r>
      <w:r>
        <w:rPr/>
        <w:t>status.</w:t>
      </w:r>
      <w:r>
        <w:rPr>
          <w:spacing w:val="-3"/>
        </w:rPr>
        <w:t> </w:t>
      </w:r>
      <w:r>
        <w:rPr/>
        <w:t>Non-tenure-track</w:t>
      </w:r>
      <w:r>
        <w:rPr>
          <w:spacing w:val="-1"/>
        </w:rPr>
        <w:t> </w:t>
      </w:r>
      <w:r>
        <w:rPr/>
        <w:t>faculty</w:t>
      </w:r>
      <w:r>
        <w:rPr>
          <w:spacing w:val="-8"/>
        </w:rPr>
        <w:t> </w:t>
      </w:r>
      <w:r>
        <w:rPr/>
        <w:t>and</w:t>
      </w:r>
      <w:r>
        <w:rPr>
          <w:spacing w:val="-3"/>
        </w:rPr>
        <w:t> </w:t>
      </w:r>
      <w:r>
        <w:rPr/>
        <w:t>research</w:t>
      </w:r>
      <w:r>
        <w:rPr>
          <w:spacing w:val="-3"/>
        </w:rPr>
        <w:t> </w:t>
      </w:r>
      <w:r>
        <w:rPr/>
        <w:t>scientists</w:t>
      </w:r>
      <w:r>
        <w:rPr>
          <w:spacing w:val="-3"/>
        </w:rPr>
        <w:t> </w:t>
      </w:r>
      <w:r>
        <w:rPr/>
        <w:t>also</w:t>
      </w:r>
      <w:r>
        <w:rPr>
          <w:spacing w:val="-3"/>
        </w:rPr>
        <w:t> </w:t>
      </w:r>
      <w:r>
        <w:rPr/>
        <w:t>may</w:t>
      </w:r>
      <w:r>
        <w:rPr>
          <w:spacing w:val="-8"/>
        </w:rPr>
        <w:t> </w:t>
      </w:r>
      <w:r>
        <w:rPr/>
        <w:t>be appointed to the Graduate School Faculty. However, directing dissertations and/or chairing dissertation committees requires a formal endorsement by the School.</w:t>
      </w:r>
    </w:p>
    <w:p>
      <w:pPr>
        <w:pStyle w:val="BodyText"/>
      </w:pPr>
    </w:p>
    <w:p>
      <w:pPr>
        <w:pStyle w:val="BodyText"/>
        <w:ind w:left="100" w:right="369" w:firstLine="719"/>
      </w:pPr>
      <w:r>
        <w:rPr/>
        <w:t>Per the request of Policy Council, the following process to make such appointments</w:t>
      </w:r>
      <w:r>
        <w:rPr>
          <w:spacing w:val="-4"/>
        </w:rPr>
        <w:t> </w:t>
      </w:r>
      <w:r>
        <w:rPr/>
        <w:t>and</w:t>
      </w:r>
      <w:r>
        <w:rPr>
          <w:spacing w:val="-4"/>
        </w:rPr>
        <w:t> </w:t>
      </w:r>
      <w:r>
        <w:rPr/>
        <w:t>endorsements</w:t>
      </w:r>
      <w:r>
        <w:rPr>
          <w:spacing w:val="-4"/>
        </w:rPr>
        <w:t> </w:t>
      </w:r>
      <w:r>
        <w:rPr/>
        <w:t>is</w:t>
      </w:r>
      <w:r>
        <w:rPr>
          <w:spacing w:val="-4"/>
        </w:rPr>
        <w:t> </w:t>
      </w:r>
      <w:r>
        <w:rPr/>
        <w:t>therefore</w:t>
      </w:r>
      <w:r>
        <w:rPr>
          <w:spacing w:val="-5"/>
        </w:rPr>
        <w:t> </w:t>
      </w:r>
      <w:r>
        <w:rPr/>
        <w:t>recommended</w:t>
      </w:r>
      <w:r>
        <w:rPr>
          <w:spacing w:val="-4"/>
        </w:rPr>
        <w:t> </w:t>
      </w:r>
      <w:r>
        <w:rPr/>
        <w:t>by</w:t>
      </w:r>
      <w:r>
        <w:rPr>
          <w:spacing w:val="-9"/>
        </w:rPr>
        <w:t> </w:t>
      </w:r>
      <w:r>
        <w:rPr/>
        <w:t>the</w:t>
      </w:r>
      <w:r>
        <w:rPr>
          <w:spacing w:val="-5"/>
        </w:rPr>
        <w:t> </w:t>
      </w:r>
      <w:r>
        <w:rPr/>
        <w:t>Graduate</w:t>
      </w:r>
      <w:r>
        <w:rPr>
          <w:spacing w:val="-5"/>
        </w:rPr>
        <w:t> </w:t>
      </w:r>
      <w:r>
        <w:rPr/>
        <w:t>Studies </w:t>
      </w:r>
      <w:r>
        <w:rPr>
          <w:spacing w:val="-2"/>
        </w:rPr>
        <w:t>Committee:</w:t>
      </w:r>
    </w:p>
    <w:p>
      <w:pPr>
        <w:pStyle w:val="BodyText"/>
        <w:rPr>
          <w:sz w:val="22"/>
        </w:rPr>
      </w:pPr>
    </w:p>
    <w:p>
      <w:pPr>
        <w:pStyle w:val="ListParagraph"/>
        <w:numPr>
          <w:ilvl w:val="0"/>
          <w:numId w:val="1"/>
        </w:numPr>
        <w:tabs>
          <w:tab w:pos="460" w:val="left" w:leader="none"/>
        </w:tabs>
        <w:spacing w:line="240" w:lineRule="auto" w:before="0" w:after="0"/>
        <w:ind w:left="460" w:right="257" w:hanging="360"/>
        <w:jc w:val="left"/>
        <w:rPr>
          <w:sz w:val="24"/>
        </w:rPr>
      </w:pPr>
      <w:r>
        <w:rPr>
          <w:sz w:val="24"/>
        </w:rPr>
        <w:t>All</w:t>
      </w:r>
      <w:r>
        <w:rPr>
          <w:spacing w:val="-3"/>
          <w:sz w:val="24"/>
        </w:rPr>
        <w:t> </w:t>
      </w:r>
      <w:r>
        <w:rPr>
          <w:sz w:val="24"/>
        </w:rPr>
        <w:t>newly</w:t>
      </w:r>
      <w:r>
        <w:rPr>
          <w:spacing w:val="-8"/>
          <w:sz w:val="24"/>
        </w:rPr>
        <w:t> </w:t>
      </w:r>
      <w:r>
        <w:rPr>
          <w:sz w:val="24"/>
        </w:rPr>
        <w:t>tenured</w:t>
      </w:r>
      <w:r>
        <w:rPr>
          <w:spacing w:val="-3"/>
          <w:sz w:val="24"/>
        </w:rPr>
        <w:t> </w:t>
      </w:r>
      <w:r>
        <w:rPr>
          <w:sz w:val="24"/>
        </w:rPr>
        <w:t>faculty</w:t>
      </w:r>
      <w:r>
        <w:rPr>
          <w:spacing w:val="-6"/>
          <w:sz w:val="24"/>
        </w:rPr>
        <w:t> </w:t>
      </w:r>
      <w:r>
        <w:rPr>
          <w:sz w:val="24"/>
        </w:rPr>
        <w:t>who</w:t>
      </w:r>
      <w:r>
        <w:rPr>
          <w:spacing w:val="-3"/>
          <w:sz w:val="24"/>
        </w:rPr>
        <w:t> </w:t>
      </w:r>
      <w:r>
        <w:rPr>
          <w:sz w:val="24"/>
        </w:rPr>
        <w:t>have</w:t>
      </w:r>
      <w:r>
        <w:rPr>
          <w:spacing w:val="-4"/>
          <w:sz w:val="24"/>
        </w:rPr>
        <w:t> </w:t>
      </w:r>
      <w:r>
        <w:rPr>
          <w:sz w:val="24"/>
        </w:rPr>
        <w:t>achieved</w:t>
      </w:r>
      <w:r>
        <w:rPr>
          <w:spacing w:val="-3"/>
          <w:sz w:val="24"/>
        </w:rPr>
        <w:t> </w:t>
      </w:r>
      <w:r>
        <w:rPr>
          <w:sz w:val="24"/>
        </w:rPr>
        <w:t>the</w:t>
      </w:r>
      <w:r>
        <w:rPr>
          <w:spacing w:val="-2"/>
          <w:sz w:val="24"/>
        </w:rPr>
        <w:t> </w:t>
      </w:r>
      <w:r>
        <w:rPr>
          <w:sz w:val="24"/>
        </w:rPr>
        <w:t>rank</w:t>
      </w:r>
      <w:r>
        <w:rPr>
          <w:spacing w:val="-3"/>
          <w:sz w:val="24"/>
        </w:rPr>
        <w:t> </w:t>
      </w:r>
      <w:r>
        <w:rPr>
          <w:sz w:val="24"/>
        </w:rPr>
        <w:t>of</w:t>
      </w:r>
      <w:r>
        <w:rPr>
          <w:spacing w:val="-4"/>
          <w:sz w:val="24"/>
        </w:rPr>
        <w:t> </w:t>
      </w:r>
      <w:r>
        <w:rPr>
          <w:sz w:val="24"/>
        </w:rPr>
        <w:t>associate</w:t>
      </w:r>
      <w:r>
        <w:rPr>
          <w:spacing w:val="-4"/>
          <w:sz w:val="24"/>
        </w:rPr>
        <w:t> </w:t>
      </w:r>
      <w:r>
        <w:rPr>
          <w:sz w:val="24"/>
        </w:rPr>
        <w:t>or</w:t>
      </w:r>
      <w:r>
        <w:rPr>
          <w:spacing w:val="-2"/>
          <w:sz w:val="24"/>
        </w:rPr>
        <w:t> </w:t>
      </w:r>
      <w:r>
        <w:rPr>
          <w:sz w:val="24"/>
        </w:rPr>
        <w:t>full</w:t>
      </w:r>
      <w:r>
        <w:rPr>
          <w:spacing w:val="-3"/>
          <w:sz w:val="24"/>
        </w:rPr>
        <w:t> </w:t>
      </w:r>
      <w:r>
        <w:rPr>
          <w:sz w:val="24"/>
        </w:rPr>
        <w:t>professor</w:t>
      </w:r>
      <w:r>
        <w:rPr>
          <w:spacing w:val="-2"/>
          <w:sz w:val="24"/>
        </w:rPr>
        <w:t> </w:t>
      </w:r>
      <w:r>
        <w:rPr>
          <w:sz w:val="24"/>
        </w:rPr>
        <w:t>are automatically recommended for the endorsement. The assumption is that all tenured faculty are fully capable of chairing and directing dissertation committees.</w:t>
      </w:r>
    </w:p>
    <w:p>
      <w:pPr>
        <w:pStyle w:val="BodyText"/>
      </w:pPr>
    </w:p>
    <w:p>
      <w:pPr>
        <w:pStyle w:val="ListParagraph"/>
        <w:numPr>
          <w:ilvl w:val="0"/>
          <w:numId w:val="1"/>
        </w:numPr>
        <w:tabs>
          <w:tab w:pos="460" w:val="left" w:leader="none"/>
        </w:tabs>
        <w:spacing w:line="240" w:lineRule="auto" w:before="0" w:after="0"/>
        <w:ind w:left="460" w:right="348" w:hanging="360"/>
        <w:jc w:val="left"/>
        <w:rPr>
          <w:sz w:val="22"/>
        </w:rPr>
      </w:pPr>
      <w:r>
        <w:rPr>
          <w:sz w:val="24"/>
        </w:rPr>
        <w:t>All untenured, tenure-track faculty during their first three years will be considered ineligible for the endorsement to chair and direct dissertations, in order to ensure that their time is protected. Under extraordinary circumstances, a faculty member may be recommended for endorsement prior to the third year review or as untenured faculty hired</w:t>
      </w:r>
      <w:r>
        <w:rPr>
          <w:spacing w:val="-4"/>
          <w:sz w:val="24"/>
        </w:rPr>
        <w:t> </w:t>
      </w:r>
      <w:r>
        <w:rPr>
          <w:sz w:val="24"/>
        </w:rPr>
        <w:t>at</w:t>
      </w:r>
      <w:r>
        <w:rPr>
          <w:spacing w:val="-4"/>
          <w:sz w:val="24"/>
        </w:rPr>
        <w:t> </w:t>
      </w:r>
      <w:r>
        <w:rPr>
          <w:sz w:val="24"/>
        </w:rPr>
        <w:t>advanced</w:t>
      </w:r>
      <w:r>
        <w:rPr>
          <w:spacing w:val="-2"/>
          <w:sz w:val="24"/>
        </w:rPr>
        <w:t> </w:t>
      </w:r>
      <w:r>
        <w:rPr>
          <w:sz w:val="24"/>
        </w:rPr>
        <w:t>career</w:t>
      </w:r>
      <w:r>
        <w:rPr>
          <w:spacing w:val="-3"/>
          <w:sz w:val="24"/>
        </w:rPr>
        <w:t> </w:t>
      </w:r>
      <w:r>
        <w:rPr>
          <w:sz w:val="24"/>
        </w:rPr>
        <w:t>stages.</w:t>
      </w:r>
      <w:r>
        <w:rPr>
          <w:spacing w:val="-2"/>
          <w:sz w:val="24"/>
        </w:rPr>
        <w:t> </w:t>
      </w:r>
      <w:r>
        <w:rPr>
          <w:sz w:val="24"/>
        </w:rPr>
        <w:t>Normally,</w:t>
      </w:r>
      <w:r>
        <w:rPr>
          <w:spacing w:val="-4"/>
          <w:sz w:val="24"/>
        </w:rPr>
        <w:t> </w:t>
      </w:r>
      <w:r>
        <w:rPr>
          <w:sz w:val="24"/>
        </w:rPr>
        <w:t>however,</w:t>
      </w:r>
      <w:r>
        <w:rPr>
          <w:spacing w:val="-4"/>
          <w:sz w:val="24"/>
        </w:rPr>
        <w:t> </w:t>
      </w:r>
      <w:r>
        <w:rPr>
          <w:sz w:val="24"/>
        </w:rPr>
        <w:t>if</w:t>
      </w:r>
      <w:r>
        <w:rPr>
          <w:spacing w:val="-5"/>
          <w:sz w:val="24"/>
        </w:rPr>
        <w:t> </w:t>
      </w:r>
      <w:r>
        <w:rPr>
          <w:sz w:val="24"/>
        </w:rPr>
        <w:t>the</w:t>
      </w:r>
      <w:r>
        <w:rPr>
          <w:spacing w:val="-4"/>
          <w:sz w:val="24"/>
        </w:rPr>
        <w:t> </w:t>
      </w:r>
      <w:r>
        <w:rPr>
          <w:sz w:val="24"/>
        </w:rPr>
        <w:t>faculty</w:t>
      </w:r>
      <w:r>
        <w:rPr>
          <w:spacing w:val="-9"/>
          <w:sz w:val="24"/>
        </w:rPr>
        <w:t> </w:t>
      </w:r>
      <w:r>
        <w:rPr>
          <w:sz w:val="24"/>
        </w:rPr>
        <w:t>member</w:t>
      </w:r>
      <w:r>
        <w:rPr>
          <w:spacing w:val="-3"/>
          <w:sz w:val="24"/>
        </w:rPr>
        <w:t> </w:t>
      </w:r>
      <w:r>
        <w:rPr>
          <w:sz w:val="24"/>
        </w:rPr>
        <w:t>agrees, the department’s tenured faculty may review the scholar’s CV and vote to recommend endorsement any time after the third year review. If an affirmative majority vote is obtained and the department chair is supportive of the endorsement, the department chair may forward the request with a brief rationale, the vote tally, and the scholar’s CV to the School of Education Associate Dean of Graduate Studies for review, and copy the School of Education Executive Associate Dean.</w:t>
      </w:r>
      <w:r>
        <w:rPr>
          <w:spacing w:val="40"/>
          <w:sz w:val="24"/>
        </w:rPr>
        <w:t> </w:t>
      </w:r>
      <w:r>
        <w:rPr>
          <w:sz w:val="24"/>
        </w:rPr>
        <w:t>The Associate Dean of Graduate Studies may then recommend endorsement to the University Graduate </w:t>
      </w:r>
      <w:r>
        <w:rPr>
          <w:spacing w:val="-2"/>
          <w:sz w:val="24"/>
        </w:rPr>
        <w:t>School.</w:t>
      </w:r>
    </w:p>
    <w:p>
      <w:pPr>
        <w:pStyle w:val="BodyText"/>
        <w:spacing w:before="1"/>
      </w:pPr>
    </w:p>
    <w:p>
      <w:pPr>
        <w:pStyle w:val="ListParagraph"/>
        <w:numPr>
          <w:ilvl w:val="0"/>
          <w:numId w:val="1"/>
        </w:numPr>
        <w:tabs>
          <w:tab w:pos="460" w:val="left" w:leader="none"/>
        </w:tabs>
        <w:spacing w:line="240" w:lineRule="auto" w:before="0" w:after="0"/>
        <w:ind w:left="460" w:right="228" w:hanging="360"/>
        <w:jc w:val="left"/>
        <w:rPr>
          <w:sz w:val="24"/>
        </w:rPr>
      </w:pPr>
      <w:r>
        <w:rPr>
          <w:sz w:val="24"/>
        </w:rPr>
        <w:t>For</w:t>
      </w:r>
      <w:r>
        <w:rPr>
          <w:spacing w:val="-5"/>
          <w:sz w:val="24"/>
        </w:rPr>
        <w:t> </w:t>
      </w:r>
      <w:r>
        <w:rPr>
          <w:sz w:val="24"/>
        </w:rPr>
        <w:t>non-tenure-track</w:t>
      </w:r>
      <w:r>
        <w:rPr>
          <w:spacing w:val="-2"/>
          <w:sz w:val="24"/>
        </w:rPr>
        <w:t> </w:t>
      </w:r>
      <w:r>
        <w:rPr>
          <w:sz w:val="24"/>
        </w:rPr>
        <w:t>faculty</w:t>
      </w:r>
      <w:r>
        <w:rPr>
          <w:spacing w:val="-9"/>
          <w:sz w:val="24"/>
        </w:rPr>
        <w:t> </w:t>
      </w:r>
      <w:r>
        <w:rPr>
          <w:sz w:val="24"/>
        </w:rPr>
        <w:t>and/or</w:t>
      </w:r>
      <w:r>
        <w:rPr>
          <w:spacing w:val="-4"/>
          <w:sz w:val="24"/>
        </w:rPr>
        <w:t> </w:t>
      </w:r>
      <w:r>
        <w:rPr>
          <w:sz w:val="24"/>
        </w:rPr>
        <w:t>research</w:t>
      </w:r>
      <w:r>
        <w:rPr>
          <w:spacing w:val="-4"/>
          <w:sz w:val="24"/>
        </w:rPr>
        <w:t> </w:t>
      </w:r>
      <w:r>
        <w:rPr>
          <w:sz w:val="24"/>
        </w:rPr>
        <w:t>scientists,</w:t>
      </w:r>
      <w:r>
        <w:rPr>
          <w:spacing w:val="-4"/>
          <w:sz w:val="24"/>
        </w:rPr>
        <w:t> </w:t>
      </w:r>
      <w:r>
        <w:rPr>
          <w:sz w:val="24"/>
        </w:rPr>
        <w:t>appointment</w:t>
      </w:r>
      <w:r>
        <w:rPr>
          <w:spacing w:val="-4"/>
          <w:sz w:val="24"/>
        </w:rPr>
        <w:t> </w:t>
      </w:r>
      <w:r>
        <w:rPr>
          <w:sz w:val="24"/>
        </w:rPr>
        <w:t>to</w:t>
      </w:r>
      <w:r>
        <w:rPr>
          <w:spacing w:val="-4"/>
          <w:sz w:val="24"/>
        </w:rPr>
        <w:t> </w:t>
      </w:r>
      <w:r>
        <w:rPr>
          <w:sz w:val="24"/>
        </w:rPr>
        <w:t>graduate</w:t>
      </w:r>
      <w:r>
        <w:rPr>
          <w:spacing w:val="-4"/>
          <w:sz w:val="24"/>
        </w:rPr>
        <w:t> </w:t>
      </w:r>
      <w:r>
        <w:rPr>
          <w:sz w:val="24"/>
        </w:rPr>
        <w:t>faculty status may be granted for those who have a terminal degree and demonstrated</w:t>
      </w:r>
      <w:r>
        <w:rPr>
          <w:spacing w:val="40"/>
          <w:sz w:val="24"/>
        </w:rPr>
        <w:t> </w:t>
      </w:r>
      <w:r>
        <w:rPr>
          <w:sz w:val="24"/>
        </w:rPr>
        <w:t>scholarly expertise within their field that positions them to contribute to students’ dissertation research. If the scholar is willing, the department’s tenured faculty may</w:t>
      </w:r>
    </w:p>
    <w:p>
      <w:pPr>
        <w:pStyle w:val="BodyText"/>
        <w:ind w:left="460" w:right="282"/>
      </w:pPr>
      <w:r>
        <w:rPr/>
        <w:t>review the scholar’s CV and vote to recommend appointment to the graduate faculty. If an affirmative majority vote is obtained and the department chair is supportive, the department</w:t>
      </w:r>
      <w:r>
        <w:rPr>
          <w:spacing w:val="-3"/>
        </w:rPr>
        <w:t> </w:t>
      </w:r>
      <w:r>
        <w:rPr/>
        <w:t>chair</w:t>
      </w:r>
      <w:r>
        <w:rPr>
          <w:spacing w:val="-3"/>
        </w:rPr>
        <w:t> </w:t>
      </w:r>
      <w:r>
        <w:rPr/>
        <w:t>may</w:t>
      </w:r>
      <w:r>
        <w:rPr>
          <w:spacing w:val="-8"/>
        </w:rPr>
        <w:t> </w:t>
      </w:r>
      <w:r>
        <w:rPr/>
        <w:t>forward</w:t>
      </w:r>
      <w:r>
        <w:rPr>
          <w:spacing w:val="-3"/>
        </w:rPr>
        <w:t> </w:t>
      </w:r>
      <w:r>
        <w:rPr/>
        <w:t>the</w:t>
      </w:r>
      <w:r>
        <w:rPr>
          <w:spacing w:val="-5"/>
        </w:rPr>
        <w:t> </w:t>
      </w:r>
      <w:r>
        <w:rPr/>
        <w:t>request</w:t>
      </w:r>
      <w:r>
        <w:rPr>
          <w:spacing w:val="-3"/>
        </w:rPr>
        <w:t> </w:t>
      </w:r>
      <w:r>
        <w:rPr/>
        <w:t>with</w:t>
      </w:r>
      <w:r>
        <w:rPr>
          <w:spacing w:val="-3"/>
        </w:rPr>
        <w:t> </w:t>
      </w:r>
      <w:r>
        <w:rPr/>
        <w:t>a</w:t>
      </w:r>
      <w:r>
        <w:rPr>
          <w:spacing w:val="-4"/>
        </w:rPr>
        <w:t> </w:t>
      </w:r>
      <w:r>
        <w:rPr/>
        <w:t>brief</w:t>
      </w:r>
      <w:r>
        <w:rPr>
          <w:spacing w:val="-3"/>
        </w:rPr>
        <w:t> </w:t>
      </w:r>
      <w:r>
        <w:rPr/>
        <w:t>rationale,</w:t>
      </w:r>
      <w:r>
        <w:rPr>
          <w:spacing w:val="-3"/>
        </w:rPr>
        <w:t> </w:t>
      </w:r>
      <w:r>
        <w:rPr/>
        <w:t>the</w:t>
      </w:r>
      <w:r>
        <w:rPr>
          <w:spacing w:val="-3"/>
        </w:rPr>
        <w:t> </w:t>
      </w:r>
      <w:r>
        <w:rPr/>
        <w:t>vote</w:t>
      </w:r>
      <w:r>
        <w:rPr>
          <w:spacing w:val="-4"/>
        </w:rPr>
        <w:t> </w:t>
      </w:r>
      <w:r>
        <w:rPr/>
        <w:t>tally,</w:t>
      </w:r>
      <w:r>
        <w:rPr>
          <w:spacing w:val="-3"/>
        </w:rPr>
        <w:t> </w:t>
      </w:r>
      <w:r>
        <w:rPr/>
        <w:t>and</w:t>
      </w:r>
      <w:r>
        <w:rPr>
          <w:spacing w:val="-3"/>
        </w:rPr>
        <w:t> </w:t>
      </w:r>
      <w:r>
        <w:rPr/>
        <w:t>the scholar’s CV to the School of Education Associate Dean of Graduate Studies for review, and copy the School of Education Executive Associate Dean. The Associate Dean of Graduate Studies may then recommend the appointment to the University Graduate School.</w:t>
      </w:r>
    </w:p>
    <w:p>
      <w:pPr>
        <w:pStyle w:val="BodyText"/>
        <w:spacing w:before="3"/>
        <w:rPr>
          <w:sz w:val="16"/>
        </w:rPr>
      </w:pPr>
    </w:p>
    <w:p>
      <w:pPr>
        <w:pStyle w:val="BodyText"/>
        <w:spacing w:before="90"/>
        <w:ind w:left="100"/>
      </w:pPr>
      <w:r>
        <w:rPr/>
        <w:t>March</w:t>
      </w:r>
      <w:r>
        <w:rPr>
          <w:spacing w:val="-3"/>
        </w:rPr>
        <w:t> </w:t>
      </w:r>
      <w:r>
        <w:rPr>
          <w:spacing w:val="-4"/>
        </w:rPr>
        <w:t>2019</w:t>
      </w:r>
    </w:p>
    <w:p>
      <w:pPr>
        <w:pStyle w:val="BodyText"/>
        <w:ind w:left="100"/>
      </w:pPr>
      <w:r>
        <w:rPr/>
        <w:t>This policy</w:t>
      </w:r>
      <w:r>
        <w:rPr>
          <w:spacing w:val="-5"/>
        </w:rPr>
        <w:t> </w:t>
      </w:r>
      <w:r>
        <w:rPr/>
        <w:t>replaces policy</w:t>
      </w:r>
      <w:r>
        <w:rPr>
          <w:spacing w:val="-4"/>
        </w:rPr>
        <w:t> </w:t>
      </w:r>
      <w:r>
        <w:rPr>
          <w:spacing w:val="-2"/>
        </w:rPr>
        <w:t>05.32R</w:t>
      </w:r>
    </w:p>
    <w:p>
      <w:pPr>
        <w:spacing w:before="33"/>
        <w:ind w:left="4464" w:right="0" w:firstLine="0"/>
        <w:jc w:val="left"/>
        <w:rPr>
          <w:sz w:val="22"/>
        </w:rPr>
      </w:pPr>
      <w:r>
        <w:rPr>
          <w:w w:val="100"/>
          <w:sz w:val="22"/>
        </w:rPr>
        <w:t>1</w:t>
      </w:r>
    </w:p>
    <w:sectPr>
      <w:type w:val="continuous"/>
      <w:pgSz w:w="12240" w:h="15840"/>
      <w:pgMar w:top="640" w:bottom="280" w:left="15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spacing w:val="0"/>
        <w:w w:val="100"/>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2180"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3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439" w:right="1594"/>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60" w:right="22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hudsonr</dc:creator>
  <dc:title>Microsoft Word - F216EBFF.doc</dc:title>
  <dcterms:created xsi:type="dcterms:W3CDTF">2023-11-29T16:49:19Z</dcterms:created>
  <dcterms:modified xsi:type="dcterms:W3CDTF">2023-11-29T16:49:19Z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