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IU Bloomington School of Education Polic" w:id="1"/>
      <w:bookmarkEnd w:id="1"/>
      <w:r>
        <w:rPr>
          <w:b w:val="0"/>
        </w:rPr>
      </w:r>
      <w:bookmarkStart w:name="To supercede 17.48" w:id="2"/>
      <w:bookmarkEnd w:id="2"/>
      <w:r>
        <w:rPr>
          <w:b w:val="0"/>
        </w:rPr>
      </w:r>
      <w:r>
        <w:rPr/>
        <w:t>IU</w:t>
      </w:r>
      <w:r>
        <w:rPr>
          <w:spacing w:val="-8"/>
        </w:rPr>
        <w:t> </w:t>
      </w:r>
      <w:r>
        <w:rPr/>
        <w:t>Bloomington</w:t>
      </w:r>
      <w:r>
        <w:rPr>
          <w:spacing w:val="-5"/>
        </w:rPr>
        <w:t> </w:t>
      </w:r>
      <w:r>
        <w:rPr/>
        <w:t>School</w:t>
      </w:r>
      <w:r>
        <w:rPr>
          <w:spacing w:val="-3"/>
        </w:rPr>
        <w:t> </w:t>
      </w:r>
      <w:r>
        <w:rPr/>
        <w:t>of</w:t>
      </w:r>
      <w:r>
        <w:rPr>
          <w:spacing w:val="-5"/>
        </w:rPr>
        <w:t> </w:t>
      </w:r>
      <w:r>
        <w:rPr/>
        <w:t>Education</w:t>
      </w:r>
      <w:r>
        <w:rPr>
          <w:spacing w:val="-4"/>
        </w:rPr>
        <w:t> </w:t>
      </w:r>
      <w:r>
        <w:rPr/>
        <w:t>Policy</w:t>
      </w:r>
      <w:r>
        <w:rPr>
          <w:spacing w:val="-6"/>
        </w:rPr>
        <w:t> </w:t>
      </w:r>
      <w:r>
        <w:rPr/>
        <w:t>on</w:t>
      </w:r>
      <w:r>
        <w:rPr>
          <w:spacing w:val="-4"/>
        </w:rPr>
        <w:t> </w:t>
      </w:r>
      <w:r>
        <w:rPr>
          <w:spacing w:val="-2"/>
        </w:rPr>
        <w:t>Mentoring</w:t>
      </w:r>
    </w:p>
    <w:p>
      <w:pPr>
        <w:pStyle w:val="Heading1"/>
        <w:spacing w:before="80"/>
      </w:pPr>
      <w:r>
        <w:rPr/>
        <w:t>To</w:t>
      </w:r>
      <w:r>
        <w:rPr>
          <w:spacing w:val="-3"/>
        </w:rPr>
        <w:t> </w:t>
      </w:r>
      <w:r>
        <w:rPr/>
        <w:t>supercede</w:t>
      </w:r>
      <w:r>
        <w:rPr>
          <w:spacing w:val="-2"/>
        </w:rPr>
        <w:t> 17.48</w:t>
      </w:r>
    </w:p>
    <w:p>
      <w:pPr>
        <w:pStyle w:val="BodyText"/>
        <w:spacing w:before="9"/>
        <w:rPr>
          <w:b/>
          <w:sz w:val="37"/>
        </w:rPr>
      </w:pPr>
    </w:p>
    <w:p>
      <w:pPr>
        <w:spacing w:before="0"/>
        <w:ind w:left="1334" w:right="1118" w:firstLine="0"/>
        <w:jc w:val="center"/>
        <w:rPr>
          <w:b/>
          <w:sz w:val="24"/>
        </w:rPr>
      </w:pPr>
      <w:r>
        <w:rPr>
          <w:b/>
          <w:spacing w:val="-2"/>
          <w:sz w:val="24"/>
        </w:rPr>
        <w:t>Preamble</w:t>
      </w:r>
    </w:p>
    <w:p>
      <w:pPr>
        <w:pStyle w:val="BodyText"/>
        <w:spacing w:before="9"/>
        <w:rPr>
          <w:b/>
          <w:sz w:val="22"/>
        </w:rPr>
      </w:pPr>
    </w:p>
    <w:p>
      <w:pPr>
        <w:pStyle w:val="BodyText"/>
        <w:ind w:left="100" w:right="220"/>
      </w:pPr>
      <w:r>
        <w:rPr/>
        <w:t>In</w:t>
      </w:r>
      <w:r>
        <w:rPr>
          <w:spacing w:val="-1"/>
        </w:rPr>
        <w:t> </w:t>
      </w:r>
      <w:r>
        <w:rPr/>
        <w:t>an</w:t>
      </w:r>
      <w:r>
        <w:rPr>
          <w:spacing w:val="-3"/>
        </w:rPr>
        <w:t> </w:t>
      </w:r>
      <w:r>
        <w:rPr/>
        <w:t>effort</w:t>
      </w:r>
      <w:r>
        <w:rPr>
          <w:spacing w:val="-3"/>
        </w:rPr>
        <w:t> </w:t>
      </w:r>
      <w:r>
        <w:rPr/>
        <w:t>to</w:t>
      </w:r>
      <w:r>
        <w:rPr>
          <w:spacing w:val="-3"/>
        </w:rPr>
        <w:t> </w:t>
      </w:r>
      <w:r>
        <w:rPr/>
        <w:t>support</w:t>
      </w:r>
      <w:r>
        <w:rPr>
          <w:spacing w:val="-3"/>
        </w:rPr>
        <w:t> </w:t>
      </w:r>
      <w:r>
        <w:rPr/>
        <w:t>all</w:t>
      </w:r>
      <w:r>
        <w:rPr>
          <w:spacing w:val="-1"/>
        </w:rPr>
        <w:t> </w:t>
      </w:r>
      <w:r>
        <w:rPr/>
        <w:t>faculty</w:t>
      </w:r>
      <w:r>
        <w:rPr>
          <w:spacing w:val="-8"/>
        </w:rPr>
        <w:t> </w:t>
      </w:r>
      <w:r>
        <w:rPr/>
        <w:t>the</w:t>
      </w:r>
      <w:r>
        <w:rPr>
          <w:spacing w:val="-4"/>
        </w:rPr>
        <w:t> </w:t>
      </w:r>
      <w:r>
        <w:rPr/>
        <w:t>Faculty</w:t>
      </w:r>
      <w:r>
        <w:rPr>
          <w:spacing w:val="-8"/>
        </w:rPr>
        <w:t> </w:t>
      </w:r>
      <w:r>
        <w:rPr/>
        <w:t>Development</w:t>
      </w:r>
      <w:r>
        <w:rPr>
          <w:spacing w:val="-3"/>
        </w:rPr>
        <w:t> </w:t>
      </w:r>
      <w:r>
        <w:rPr/>
        <w:t>Committee</w:t>
      </w:r>
      <w:r>
        <w:rPr>
          <w:spacing w:val="-4"/>
        </w:rPr>
        <w:t> </w:t>
      </w:r>
      <w:r>
        <w:rPr/>
        <w:t>proposes</w:t>
      </w:r>
      <w:r>
        <w:rPr>
          <w:spacing w:val="-3"/>
        </w:rPr>
        <w:t> </w:t>
      </w:r>
      <w:r>
        <w:rPr/>
        <w:t>the</w:t>
      </w:r>
      <w:r>
        <w:rPr>
          <w:spacing w:val="-4"/>
        </w:rPr>
        <w:t> </w:t>
      </w:r>
      <w:r>
        <w:rPr/>
        <w:t>following program for mentoring. The proposed program focuses on pre-tenured tenure track faculty members and full time non-tenure track (NTT) faculty members as they navigate new situations and challenges both professionally and personally.</w:t>
      </w:r>
    </w:p>
    <w:p>
      <w:pPr>
        <w:pStyle w:val="BodyText"/>
        <w:spacing w:before="9"/>
        <w:rPr>
          <w:sz w:val="23"/>
        </w:rPr>
      </w:pPr>
    </w:p>
    <w:p>
      <w:pPr>
        <w:pStyle w:val="BodyText"/>
        <w:ind w:left="100" w:right="283"/>
      </w:pPr>
      <w:r>
        <w:rPr/>
        <w:t>This mentoring program will feature training opportunities and materials provided by the Faculty</w:t>
      </w:r>
      <w:r>
        <w:rPr>
          <w:spacing w:val="-8"/>
        </w:rPr>
        <w:t> </w:t>
      </w:r>
      <w:r>
        <w:rPr/>
        <w:t>Development</w:t>
      </w:r>
      <w:r>
        <w:rPr>
          <w:spacing w:val="-4"/>
        </w:rPr>
        <w:t> </w:t>
      </w:r>
      <w:r>
        <w:rPr/>
        <w:t>Committee</w:t>
      </w:r>
      <w:r>
        <w:rPr>
          <w:spacing w:val="-5"/>
        </w:rPr>
        <w:t> </w:t>
      </w:r>
      <w:r>
        <w:rPr/>
        <w:t>to</w:t>
      </w:r>
      <w:r>
        <w:rPr>
          <w:spacing w:val="-4"/>
        </w:rPr>
        <w:t> </w:t>
      </w:r>
      <w:r>
        <w:rPr/>
        <w:t>make</w:t>
      </w:r>
      <w:r>
        <w:rPr>
          <w:spacing w:val="-5"/>
        </w:rPr>
        <w:t> </w:t>
      </w:r>
      <w:r>
        <w:rPr/>
        <w:t>the</w:t>
      </w:r>
      <w:r>
        <w:rPr>
          <w:spacing w:val="-5"/>
        </w:rPr>
        <w:t> </w:t>
      </w:r>
      <w:r>
        <w:rPr/>
        <w:t>mentor-mentee</w:t>
      </w:r>
      <w:r>
        <w:rPr>
          <w:spacing w:val="-5"/>
        </w:rPr>
        <w:t> </w:t>
      </w:r>
      <w:r>
        <w:rPr/>
        <w:t>relationship</w:t>
      </w:r>
      <w:r>
        <w:rPr>
          <w:spacing w:val="-4"/>
        </w:rPr>
        <w:t> </w:t>
      </w:r>
      <w:r>
        <w:rPr/>
        <w:t>successful</w:t>
      </w:r>
      <w:r>
        <w:rPr>
          <w:spacing w:val="-4"/>
        </w:rPr>
        <w:t> </w:t>
      </w:r>
      <w:r>
        <w:rPr/>
        <w:t>for</w:t>
      </w:r>
      <w:r>
        <w:rPr>
          <w:spacing w:val="-5"/>
        </w:rPr>
        <w:t> </w:t>
      </w:r>
      <w:r>
        <w:rPr/>
        <w:t>both parties. In particular, suggestions are made to help pair mentors and mentees; conduct regular, structured meetings; help faculty members develop a constellation of mentors and recognition for formal SOE mentors. All faculty members are welcome and supported in the mentoring program, specific characteristics are included to foster an inclusive climate.</w:t>
      </w:r>
    </w:p>
    <w:p>
      <w:pPr>
        <w:pStyle w:val="BodyText"/>
        <w:rPr>
          <w:sz w:val="26"/>
        </w:rPr>
      </w:pPr>
    </w:p>
    <w:p>
      <w:pPr>
        <w:pStyle w:val="BodyText"/>
        <w:spacing w:before="8"/>
        <w:rPr>
          <w:sz w:val="23"/>
        </w:rPr>
      </w:pPr>
    </w:p>
    <w:p>
      <w:pPr>
        <w:pStyle w:val="Heading1"/>
        <w:ind w:right="1116"/>
      </w:pPr>
      <w:bookmarkStart w:name="Policy on Mentoring" w:id="3"/>
      <w:bookmarkEnd w:id="3"/>
      <w:r>
        <w:rPr>
          <w:b w:val="0"/>
        </w:rPr>
      </w:r>
      <w:r>
        <w:rPr/>
        <w:t>Policy</w:t>
      </w:r>
      <w:r>
        <w:rPr>
          <w:spacing w:val="-2"/>
        </w:rPr>
        <w:t> </w:t>
      </w:r>
      <w:r>
        <w:rPr/>
        <w:t>on</w:t>
      </w:r>
      <w:r>
        <w:rPr>
          <w:spacing w:val="-2"/>
        </w:rPr>
        <w:t> Mentoring</w:t>
      </w:r>
    </w:p>
    <w:p>
      <w:pPr>
        <w:pStyle w:val="BodyText"/>
        <w:spacing w:before="11"/>
        <w:rPr>
          <w:b/>
          <w:sz w:val="22"/>
        </w:rPr>
      </w:pPr>
    </w:p>
    <w:p>
      <w:pPr>
        <w:pStyle w:val="BodyText"/>
        <w:ind w:left="100" w:right="568"/>
      </w:pPr>
      <w:r>
        <w:rPr/>
        <w:t>For</w:t>
      </w:r>
      <w:r>
        <w:rPr>
          <w:spacing w:val="-3"/>
        </w:rPr>
        <w:t> </w:t>
      </w:r>
      <w:r>
        <w:rPr/>
        <w:t>the</w:t>
      </w:r>
      <w:r>
        <w:rPr>
          <w:spacing w:val="-3"/>
        </w:rPr>
        <w:t> </w:t>
      </w:r>
      <w:r>
        <w:rPr/>
        <w:t>purposes</w:t>
      </w:r>
      <w:r>
        <w:rPr>
          <w:spacing w:val="-2"/>
        </w:rPr>
        <w:t> </w:t>
      </w:r>
      <w:r>
        <w:rPr/>
        <w:t>of</w:t>
      </w:r>
      <w:r>
        <w:rPr>
          <w:spacing w:val="-3"/>
        </w:rPr>
        <w:t> </w:t>
      </w:r>
      <w:r>
        <w:rPr/>
        <w:t>this</w:t>
      </w:r>
      <w:r>
        <w:rPr>
          <w:spacing w:val="-2"/>
        </w:rPr>
        <w:t> </w:t>
      </w:r>
      <w:r>
        <w:rPr/>
        <w:t>policy,</w:t>
      </w:r>
      <w:r>
        <w:rPr>
          <w:spacing w:val="-2"/>
        </w:rPr>
        <w:t> </w:t>
      </w:r>
      <w:r>
        <w:rPr/>
        <w:t>a</w:t>
      </w:r>
      <w:r>
        <w:rPr>
          <w:spacing w:val="-3"/>
        </w:rPr>
        <w:t> </w:t>
      </w:r>
      <w:r>
        <w:rPr/>
        <w:t>lead</w:t>
      </w:r>
      <w:r>
        <w:rPr>
          <w:spacing w:val="-2"/>
        </w:rPr>
        <w:t> </w:t>
      </w:r>
      <w:r>
        <w:rPr/>
        <w:t>mentor</w:t>
      </w:r>
      <w:r>
        <w:rPr>
          <w:spacing w:val="-2"/>
        </w:rPr>
        <w:t> </w:t>
      </w:r>
      <w:r>
        <w:rPr/>
        <w:t>refers</w:t>
      </w:r>
      <w:r>
        <w:rPr>
          <w:spacing w:val="-2"/>
        </w:rPr>
        <w:t> </w:t>
      </w:r>
      <w:r>
        <w:rPr/>
        <w:t>to</w:t>
      </w:r>
      <w:r>
        <w:rPr>
          <w:spacing w:val="-2"/>
        </w:rPr>
        <w:t> </w:t>
      </w:r>
      <w:r>
        <w:rPr/>
        <w:t>a</w:t>
      </w:r>
      <w:r>
        <w:rPr>
          <w:spacing w:val="-3"/>
        </w:rPr>
        <w:t> </w:t>
      </w:r>
      <w:r>
        <w:rPr/>
        <w:t>tenured</w:t>
      </w:r>
      <w:r>
        <w:rPr>
          <w:spacing w:val="-2"/>
        </w:rPr>
        <w:t> </w:t>
      </w:r>
      <w:r>
        <w:rPr/>
        <w:t>faculty</w:t>
      </w:r>
      <w:r>
        <w:rPr>
          <w:spacing w:val="-7"/>
        </w:rPr>
        <w:t> </w:t>
      </w:r>
      <w:r>
        <w:rPr/>
        <w:t>member</w:t>
      </w:r>
      <w:r>
        <w:rPr>
          <w:spacing w:val="-3"/>
        </w:rPr>
        <w:t> </w:t>
      </w:r>
      <w:r>
        <w:rPr/>
        <w:t>of</w:t>
      </w:r>
      <w:r>
        <w:rPr>
          <w:spacing w:val="-3"/>
        </w:rPr>
        <w:t> </w:t>
      </w:r>
      <w:r>
        <w:rPr/>
        <w:t>the</w:t>
      </w:r>
      <w:r>
        <w:rPr>
          <w:spacing w:val="-2"/>
        </w:rPr>
        <w:t> </w:t>
      </w:r>
      <w:r>
        <w:rPr/>
        <w:t>IU School of Education who serves as the primary mentor for a pre-tenured faculty member and for full time NTT faculty members in the School of Education.</w:t>
      </w:r>
    </w:p>
    <w:p>
      <w:pPr>
        <w:pStyle w:val="BodyText"/>
      </w:pPr>
    </w:p>
    <w:p>
      <w:pPr>
        <w:pStyle w:val="BodyText"/>
        <w:ind w:left="100" w:right="220"/>
      </w:pPr>
      <w:r>
        <w:rPr/>
        <w:t>Department chairs or center directors are responsible for identifying a lead mentor for each pre-tenured faculty and for full time NTT faculty members in their departments. Department chairs or center directors will pair their pre-tenured and full time NTT faculty members with lead mentors within 3-6 months of their arrival at Indiana University. In identifying suitable lead mentors, departments should consult pre-tenured and NTT faculty members on their preferences and needs, ensuring that it is an informed decision when assigning mentors</w:t>
      </w:r>
      <w:r>
        <w:rPr>
          <w:sz w:val="22"/>
        </w:rPr>
        <w:t>. </w:t>
      </w:r>
      <w:r>
        <w:rPr/>
        <w:t>The department chairperson would also be responsible for rematching a pre-tenured and full time NTT</w:t>
      </w:r>
      <w:r>
        <w:rPr>
          <w:spacing w:val="-3"/>
        </w:rPr>
        <w:t> </w:t>
      </w:r>
      <w:r>
        <w:rPr/>
        <w:t>faculty</w:t>
      </w:r>
      <w:r>
        <w:rPr>
          <w:spacing w:val="-7"/>
        </w:rPr>
        <w:t> </w:t>
      </w:r>
      <w:r>
        <w:rPr/>
        <w:t>member</w:t>
      </w:r>
      <w:r>
        <w:rPr>
          <w:spacing w:val="-3"/>
        </w:rPr>
        <w:t> </w:t>
      </w:r>
      <w:r>
        <w:rPr/>
        <w:t>with</w:t>
      </w:r>
      <w:r>
        <w:rPr>
          <w:spacing w:val="-2"/>
        </w:rPr>
        <w:t> </w:t>
      </w:r>
      <w:r>
        <w:rPr/>
        <w:t>a</w:t>
      </w:r>
      <w:r>
        <w:rPr>
          <w:spacing w:val="-3"/>
        </w:rPr>
        <w:t> </w:t>
      </w:r>
      <w:r>
        <w:rPr/>
        <w:t>lead</w:t>
      </w:r>
      <w:r>
        <w:rPr>
          <w:spacing w:val="-2"/>
        </w:rPr>
        <w:t> </w:t>
      </w:r>
      <w:r>
        <w:rPr/>
        <w:t>mentor</w:t>
      </w:r>
      <w:r>
        <w:rPr>
          <w:spacing w:val="-3"/>
        </w:rPr>
        <w:t> </w:t>
      </w:r>
      <w:r>
        <w:rPr/>
        <w:t>in</w:t>
      </w:r>
      <w:r>
        <w:rPr>
          <w:spacing w:val="-2"/>
        </w:rPr>
        <w:t> </w:t>
      </w:r>
      <w:r>
        <w:rPr/>
        <w:t>the</w:t>
      </w:r>
      <w:r>
        <w:rPr>
          <w:spacing w:val="-1"/>
        </w:rPr>
        <w:t> </w:t>
      </w:r>
      <w:r>
        <w:rPr/>
        <w:t>event</w:t>
      </w:r>
      <w:r>
        <w:rPr>
          <w:spacing w:val="-2"/>
        </w:rPr>
        <w:t> </w:t>
      </w:r>
      <w:r>
        <w:rPr/>
        <w:t>that</w:t>
      </w:r>
      <w:r>
        <w:rPr>
          <w:spacing w:val="-2"/>
        </w:rPr>
        <w:t> </w:t>
      </w:r>
      <w:r>
        <w:rPr/>
        <w:t>either</w:t>
      </w:r>
      <w:r>
        <w:rPr>
          <w:spacing w:val="-3"/>
        </w:rPr>
        <w:t> </w:t>
      </w:r>
      <w:r>
        <w:rPr/>
        <w:t>the</w:t>
      </w:r>
      <w:r>
        <w:rPr>
          <w:spacing w:val="-3"/>
        </w:rPr>
        <w:t> </w:t>
      </w:r>
      <w:r>
        <w:rPr/>
        <w:t>lead</w:t>
      </w:r>
      <w:r>
        <w:rPr>
          <w:spacing w:val="-2"/>
        </w:rPr>
        <w:t> </w:t>
      </w:r>
      <w:r>
        <w:rPr/>
        <w:t>mentor</w:t>
      </w:r>
      <w:r>
        <w:rPr>
          <w:spacing w:val="-3"/>
        </w:rPr>
        <w:t> </w:t>
      </w:r>
      <w:r>
        <w:rPr/>
        <w:t>or</w:t>
      </w:r>
      <w:r>
        <w:rPr>
          <w:spacing w:val="-3"/>
        </w:rPr>
        <w:t> </w:t>
      </w:r>
      <w:r>
        <w:rPr/>
        <w:t>the</w:t>
      </w:r>
      <w:r>
        <w:rPr>
          <w:spacing w:val="-3"/>
        </w:rPr>
        <w:t> </w:t>
      </w:r>
      <w:r>
        <w:rPr/>
        <w:t>mentee requests to terminate the mentoring relationship. Lead mentors can be assigned from either within or outside the department.</w:t>
      </w:r>
    </w:p>
    <w:p>
      <w:pPr>
        <w:pStyle w:val="BodyText"/>
      </w:pPr>
    </w:p>
    <w:p>
      <w:pPr>
        <w:pStyle w:val="BodyText"/>
        <w:ind w:left="100"/>
        <w:jc w:val="both"/>
      </w:pPr>
      <w:r>
        <w:rPr/>
        <w:t>The</w:t>
      </w:r>
      <w:r>
        <w:rPr>
          <w:spacing w:val="-3"/>
        </w:rPr>
        <w:t> </w:t>
      </w:r>
      <w:r>
        <w:rPr/>
        <w:t>responsibilities</w:t>
      </w:r>
      <w:r>
        <w:rPr>
          <w:spacing w:val="-1"/>
        </w:rPr>
        <w:t> </w:t>
      </w:r>
      <w:r>
        <w:rPr/>
        <w:t>of</w:t>
      </w:r>
      <w:r>
        <w:rPr>
          <w:spacing w:val="-3"/>
        </w:rPr>
        <w:t> </w:t>
      </w:r>
      <w:r>
        <w:rPr/>
        <w:t>lead</w:t>
      </w:r>
      <w:r>
        <w:rPr>
          <w:spacing w:val="-1"/>
        </w:rPr>
        <w:t> </w:t>
      </w:r>
      <w:r>
        <w:rPr/>
        <w:t>mentors</w:t>
      </w:r>
      <w:r>
        <w:rPr>
          <w:spacing w:val="-2"/>
        </w:rPr>
        <w:t> </w:t>
      </w:r>
      <w:r>
        <w:rPr/>
        <w:t>are</w:t>
      </w:r>
      <w:r>
        <w:rPr>
          <w:spacing w:val="-2"/>
        </w:rPr>
        <w:t> </w:t>
      </w:r>
      <w:r>
        <w:rPr/>
        <w:t>as</w:t>
      </w:r>
      <w:r>
        <w:rPr>
          <w:spacing w:val="-1"/>
        </w:rPr>
        <w:t> </w:t>
      </w:r>
      <w:r>
        <w:rPr>
          <w:spacing w:val="-2"/>
        </w:rPr>
        <w:t>follows:</w:t>
      </w:r>
    </w:p>
    <w:p>
      <w:pPr>
        <w:pStyle w:val="ListParagraph"/>
        <w:numPr>
          <w:ilvl w:val="0"/>
          <w:numId w:val="1"/>
        </w:numPr>
        <w:tabs>
          <w:tab w:pos="819" w:val="left" w:leader="none"/>
        </w:tabs>
        <w:spacing w:line="240" w:lineRule="auto" w:before="0" w:after="0"/>
        <w:ind w:left="819" w:right="0" w:hanging="359"/>
        <w:jc w:val="both"/>
        <w:rPr>
          <w:sz w:val="24"/>
        </w:rPr>
      </w:pPr>
      <w:r>
        <w:rPr>
          <w:sz w:val="24"/>
        </w:rPr>
        <w:t>Identify</w:t>
      </w:r>
      <w:r>
        <w:rPr>
          <w:spacing w:val="-8"/>
          <w:sz w:val="24"/>
        </w:rPr>
        <w:t> </w:t>
      </w:r>
      <w:r>
        <w:rPr>
          <w:sz w:val="24"/>
        </w:rPr>
        <w:t>their</w:t>
      </w:r>
      <w:r>
        <w:rPr>
          <w:spacing w:val="-1"/>
          <w:sz w:val="24"/>
        </w:rPr>
        <w:t> </w:t>
      </w:r>
      <w:r>
        <w:rPr>
          <w:sz w:val="24"/>
        </w:rPr>
        <w:t>mentees’</w:t>
      </w:r>
      <w:r>
        <w:rPr>
          <w:spacing w:val="-1"/>
          <w:sz w:val="24"/>
        </w:rPr>
        <w:t> </w:t>
      </w:r>
      <w:r>
        <w:rPr>
          <w:sz w:val="24"/>
        </w:rPr>
        <w:t>unique</w:t>
      </w:r>
      <w:r>
        <w:rPr>
          <w:spacing w:val="-1"/>
          <w:sz w:val="24"/>
        </w:rPr>
        <w:t> </w:t>
      </w:r>
      <w:r>
        <w:rPr>
          <w:sz w:val="24"/>
        </w:rPr>
        <w:t>mentoring</w:t>
      </w:r>
      <w:r>
        <w:rPr>
          <w:spacing w:val="-22"/>
          <w:sz w:val="24"/>
        </w:rPr>
        <w:t> </w:t>
      </w:r>
      <w:r>
        <w:rPr>
          <w:spacing w:val="-2"/>
          <w:sz w:val="24"/>
        </w:rPr>
        <w:t>needs;</w:t>
      </w:r>
    </w:p>
    <w:p>
      <w:pPr>
        <w:pStyle w:val="ListParagraph"/>
        <w:numPr>
          <w:ilvl w:val="0"/>
          <w:numId w:val="1"/>
        </w:numPr>
        <w:tabs>
          <w:tab w:pos="819" w:val="left" w:leader="none"/>
        </w:tabs>
        <w:spacing w:line="240" w:lineRule="auto" w:before="0" w:after="0"/>
        <w:ind w:left="819" w:right="0" w:hanging="359"/>
        <w:jc w:val="both"/>
        <w:rPr>
          <w:sz w:val="24"/>
        </w:rPr>
      </w:pPr>
      <w:r>
        <w:rPr>
          <w:sz w:val="24"/>
        </w:rPr>
        <w:t>Include</w:t>
      </w:r>
      <w:r>
        <w:rPr>
          <w:spacing w:val="-5"/>
          <w:sz w:val="24"/>
        </w:rPr>
        <w:t> </w:t>
      </w:r>
      <w:r>
        <w:rPr>
          <w:sz w:val="24"/>
        </w:rPr>
        <w:t>resources, possibly</w:t>
      </w:r>
      <w:r>
        <w:rPr>
          <w:spacing w:val="-6"/>
          <w:sz w:val="24"/>
        </w:rPr>
        <w:t> </w:t>
      </w:r>
      <w:r>
        <w:rPr>
          <w:sz w:val="24"/>
        </w:rPr>
        <w:t>an</w:t>
      </w:r>
      <w:r>
        <w:rPr>
          <w:spacing w:val="-1"/>
          <w:sz w:val="24"/>
        </w:rPr>
        <w:t> </w:t>
      </w:r>
      <w:r>
        <w:rPr>
          <w:sz w:val="24"/>
        </w:rPr>
        <w:t>outside</w:t>
      </w:r>
      <w:r>
        <w:rPr>
          <w:spacing w:val="-2"/>
          <w:sz w:val="24"/>
        </w:rPr>
        <w:t> </w:t>
      </w:r>
      <w:r>
        <w:rPr>
          <w:sz w:val="24"/>
        </w:rPr>
        <w:t>person, to</w:t>
      </w:r>
      <w:r>
        <w:rPr>
          <w:spacing w:val="-1"/>
          <w:sz w:val="24"/>
        </w:rPr>
        <w:t> </w:t>
      </w:r>
      <w:r>
        <w:rPr>
          <w:sz w:val="24"/>
        </w:rPr>
        <w:t>facilitate</w:t>
      </w:r>
      <w:r>
        <w:rPr>
          <w:spacing w:val="-2"/>
          <w:sz w:val="24"/>
        </w:rPr>
        <w:t> </w:t>
      </w:r>
      <w:r>
        <w:rPr>
          <w:sz w:val="24"/>
        </w:rPr>
        <w:t>the</w:t>
      </w:r>
      <w:r>
        <w:rPr>
          <w:spacing w:val="-2"/>
          <w:sz w:val="24"/>
        </w:rPr>
        <w:t> </w:t>
      </w:r>
      <w:r>
        <w:rPr>
          <w:sz w:val="24"/>
        </w:rPr>
        <w:t>establishment of</w:t>
      </w:r>
      <w:r>
        <w:rPr>
          <w:spacing w:val="-28"/>
          <w:sz w:val="24"/>
        </w:rPr>
        <w:t> </w:t>
      </w:r>
      <w:r>
        <w:rPr>
          <w:spacing w:val="-2"/>
          <w:sz w:val="24"/>
        </w:rPr>
        <w:t>goals;</w:t>
      </w:r>
    </w:p>
    <w:p>
      <w:pPr>
        <w:pStyle w:val="ListParagraph"/>
        <w:numPr>
          <w:ilvl w:val="0"/>
          <w:numId w:val="1"/>
        </w:numPr>
        <w:tabs>
          <w:tab w:pos="819" w:val="left" w:leader="none"/>
        </w:tabs>
        <w:spacing w:line="240" w:lineRule="auto" w:before="1" w:after="0"/>
        <w:ind w:left="819" w:right="152" w:hanging="360"/>
        <w:jc w:val="both"/>
        <w:rPr>
          <w:sz w:val="24"/>
        </w:rPr>
      </w:pPr>
      <w:r>
        <w:rPr>
          <w:sz w:val="24"/>
        </w:rPr>
        <w:t>Connect</w:t>
      </w:r>
      <w:r>
        <w:rPr>
          <w:spacing w:val="-4"/>
          <w:sz w:val="24"/>
        </w:rPr>
        <w:t> </w:t>
      </w:r>
      <w:r>
        <w:rPr>
          <w:sz w:val="24"/>
        </w:rPr>
        <w:t>their</w:t>
      </w:r>
      <w:r>
        <w:rPr>
          <w:spacing w:val="-5"/>
          <w:sz w:val="24"/>
        </w:rPr>
        <w:t> </w:t>
      </w:r>
      <w:r>
        <w:rPr>
          <w:sz w:val="24"/>
        </w:rPr>
        <w:t>mentees</w:t>
      </w:r>
      <w:r>
        <w:rPr>
          <w:spacing w:val="-4"/>
          <w:sz w:val="24"/>
        </w:rPr>
        <w:t> </w:t>
      </w:r>
      <w:r>
        <w:rPr>
          <w:sz w:val="24"/>
        </w:rPr>
        <w:t>with</w:t>
      </w:r>
      <w:r>
        <w:rPr>
          <w:spacing w:val="-4"/>
          <w:sz w:val="24"/>
        </w:rPr>
        <w:t> </w:t>
      </w:r>
      <w:r>
        <w:rPr>
          <w:sz w:val="24"/>
        </w:rPr>
        <w:t>other</w:t>
      </w:r>
      <w:r>
        <w:rPr>
          <w:spacing w:val="-5"/>
          <w:sz w:val="24"/>
        </w:rPr>
        <w:t> </w:t>
      </w:r>
      <w:r>
        <w:rPr>
          <w:sz w:val="24"/>
        </w:rPr>
        <w:t>mentors</w:t>
      </w:r>
      <w:r>
        <w:rPr>
          <w:spacing w:val="-4"/>
          <w:sz w:val="24"/>
        </w:rPr>
        <w:t> </w:t>
      </w:r>
      <w:r>
        <w:rPr>
          <w:sz w:val="24"/>
        </w:rPr>
        <w:t>who</w:t>
      </w:r>
      <w:r>
        <w:rPr>
          <w:spacing w:val="-4"/>
          <w:sz w:val="24"/>
        </w:rPr>
        <w:t> </w:t>
      </w:r>
      <w:r>
        <w:rPr>
          <w:sz w:val="24"/>
        </w:rPr>
        <w:t>can</w:t>
      </w:r>
      <w:r>
        <w:rPr>
          <w:spacing w:val="-4"/>
          <w:sz w:val="24"/>
        </w:rPr>
        <w:t> </w:t>
      </w:r>
      <w:r>
        <w:rPr>
          <w:sz w:val="24"/>
        </w:rPr>
        <w:t>provide</w:t>
      </w:r>
      <w:r>
        <w:rPr>
          <w:spacing w:val="-5"/>
          <w:sz w:val="24"/>
        </w:rPr>
        <w:t> </w:t>
      </w:r>
      <w:r>
        <w:rPr>
          <w:sz w:val="24"/>
        </w:rPr>
        <w:t>support</w:t>
      </w:r>
      <w:r>
        <w:rPr>
          <w:spacing w:val="-4"/>
          <w:sz w:val="24"/>
        </w:rPr>
        <w:t> </w:t>
      </w:r>
      <w:r>
        <w:rPr>
          <w:sz w:val="24"/>
        </w:rPr>
        <w:t>in</w:t>
      </w:r>
      <w:r>
        <w:rPr>
          <w:spacing w:val="-4"/>
          <w:sz w:val="24"/>
        </w:rPr>
        <w:t> </w:t>
      </w:r>
      <w:r>
        <w:rPr>
          <w:sz w:val="24"/>
        </w:rPr>
        <w:t>areas</w:t>
      </w:r>
      <w:r>
        <w:rPr>
          <w:spacing w:val="-4"/>
          <w:sz w:val="24"/>
        </w:rPr>
        <w:t> </w:t>
      </w:r>
      <w:r>
        <w:rPr>
          <w:sz w:val="24"/>
        </w:rPr>
        <w:t>beyond</w:t>
      </w:r>
      <w:r>
        <w:rPr>
          <w:spacing w:val="-4"/>
          <w:sz w:val="24"/>
        </w:rPr>
        <w:t> </w:t>
      </w:r>
      <w:r>
        <w:rPr>
          <w:sz w:val="24"/>
        </w:rPr>
        <w:t>the expertise</w:t>
      </w:r>
      <w:r>
        <w:rPr>
          <w:spacing w:val="-15"/>
          <w:sz w:val="24"/>
        </w:rPr>
        <w:t> </w:t>
      </w:r>
      <w:r>
        <w:rPr>
          <w:sz w:val="24"/>
        </w:rPr>
        <w:t>of</w:t>
      </w:r>
      <w:r>
        <w:rPr>
          <w:spacing w:val="-10"/>
          <w:sz w:val="24"/>
        </w:rPr>
        <w:t> </w:t>
      </w:r>
      <w:r>
        <w:rPr>
          <w:sz w:val="24"/>
        </w:rPr>
        <w:t>the</w:t>
      </w:r>
      <w:r>
        <w:rPr>
          <w:spacing w:val="-9"/>
          <w:sz w:val="24"/>
        </w:rPr>
        <w:t> </w:t>
      </w:r>
      <w:r>
        <w:rPr>
          <w:sz w:val="24"/>
        </w:rPr>
        <w:t>lead</w:t>
      </w:r>
      <w:r>
        <w:rPr>
          <w:spacing w:val="-10"/>
          <w:sz w:val="24"/>
        </w:rPr>
        <w:t> </w:t>
      </w:r>
      <w:r>
        <w:rPr>
          <w:sz w:val="24"/>
        </w:rPr>
        <w:t>mentor;</w:t>
      </w:r>
      <w:r>
        <w:rPr>
          <w:spacing w:val="-8"/>
          <w:sz w:val="24"/>
        </w:rPr>
        <w:t> </w:t>
      </w:r>
      <w:r>
        <w:rPr>
          <w:sz w:val="24"/>
        </w:rPr>
        <w:t>this</w:t>
      </w:r>
      <w:r>
        <w:rPr>
          <w:spacing w:val="-10"/>
          <w:sz w:val="24"/>
        </w:rPr>
        <w:t> </w:t>
      </w:r>
      <w:r>
        <w:rPr>
          <w:sz w:val="24"/>
        </w:rPr>
        <w:t>process</w:t>
      </w:r>
      <w:r>
        <w:rPr>
          <w:spacing w:val="-3"/>
          <w:sz w:val="24"/>
        </w:rPr>
        <w:t> </w:t>
      </w:r>
      <w:r>
        <w:rPr>
          <w:sz w:val="24"/>
        </w:rPr>
        <w:t>acknowledges</w:t>
      </w:r>
      <w:r>
        <w:rPr>
          <w:spacing w:val="-8"/>
          <w:sz w:val="24"/>
        </w:rPr>
        <w:t> </w:t>
      </w:r>
      <w:r>
        <w:rPr>
          <w:sz w:val="24"/>
        </w:rPr>
        <w:t>that</w:t>
      </w:r>
      <w:r>
        <w:rPr>
          <w:spacing w:val="-8"/>
          <w:sz w:val="24"/>
        </w:rPr>
        <w:t> </w:t>
      </w:r>
      <w:r>
        <w:rPr>
          <w:sz w:val="24"/>
        </w:rPr>
        <w:t>no</w:t>
      </w:r>
      <w:r>
        <w:rPr>
          <w:spacing w:val="-8"/>
          <w:sz w:val="24"/>
        </w:rPr>
        <w:t> </w:t>
      </w:r>
      <w:r>
        <w:rPr>
          <w:sz w:val="24"/>
        </w:rPr>
        <w:t>single</w:t>
      </w:r>
      <w:r>
        <w:rPr>
          <w:spacing w:val="-9"/>
          <w:sz w:val="24"/>
        </w:rPr>
        <w:t> </w:t>
      </w:r>
      <w:r>
        <w:rPr>
          <w:sz w:val="24"/>
        </w:rPr>
        <w:t>mentor</w:t>
      </w:r>
      <w:r>
        <w:rPr>
          <w:spacing w:val="-10"/>
          <w:sz w:val="24"/>
        </w:rPr>
        <w:t> </w:t>
      </w:r>
      <w:r>
        <w:rPr>
          <w:sz w:val="24"/>
        </w:rPr>
        <w:t>can</w:t>
      </w:r>
      <w:r>
        <w:rPr>
          <w:spacing w:val="-15"/>
          <w:sz w:val="24"/>
        </w:rPr>
        <w:t> </w:t>
      </w:r>
      <w:r>
        <w:rPr>
          <w:sz w:val="24"/>
        </w:rPr>
        <w:t>fulfill all of the mentoring needs of a</w:t>
      </w:r>
      <w:r>
        <w:rPr>
          <w:spacing w:val="-6"/>
          <w:sz w:val="24"/>
        </w:rPr>
        <w:t> </w:t>
      </w:r>
      <w:r>
        <w:rPr>
          <w:sz w:val="24"/>
        </w:rPr>
        <w:t>mentee;</w:t>
      </w:r>
    </w:p>
    <w:p>
      <w:pPr>
        <w:pStyle w:val="ListParagraph"/>
        <w:numPr>
          <w:ilvl w:val="0"/>
          <w:numId w:val="1"/>
        </w:numPr>
        <w:tabs>
          <w:tab w:pos="820" w:val="left" w:leader="none"/>
        </w:tabs>
        <w:spacing w:line="240" w:lineRule="auto" w:before="0" w:after="0"/>
        <w:ind w:left="820" w:right="1434" w:hanging="360"/>
        <w:jc w:val="both"/>
        <w:rPr>
          <w:sz w:val="24"/>
        </w:rPr>
      </w:pPr>
      <w:r>
        <w:rPr>
          <w:sz w:val="24"/>
        </w:rPr>
        <w:t>Conduct</w:t>
      </w:r>
      <w:r>
        <w:rPr>
          <w:spacing w:val="-4"/>
          <w:sz w:val="24"/>
        </w:rPr>
        <w:t> </w:t>
      </w:r>
      <w:r>
        <w:rPr>
          <w:sz w:val="24"/>
        </w:rPr>
        <w:t>at</w:t>
      </w:r>
      <w:r>
        <w:rPr>
          <w:spacing w:val="-4"/>
          <w:sz w:val="24"/>
        </w:rPr>
        <w:t> </w:t>
      </w:r>
      <w:r>
        <w:rPr>
          <w:sz w:val="24"/>
        </w:rPr>
        <w:t>least</w:t>
      </w:r>
      <w:r>
        <w:rPr>
          <w:spacing w:val="-4"/>
          <w:sz w:val="24"/>
        </w:rPr>
        <w:t> </w:t>
      </w:r>
      <w:r>
        <w:rPr>
          <w:sz w:val="24"/>
        </w:rPr>
        <w:t>four</w:t>
      </w:r>
      <w:r>
        <w:rPr>
          <w:spacing w:val="-5"/>
          <w:sz w:val="24"/>
        </w:rPr>
        <w:t> </w:t>
      </w:r>
      <w:r>
        <w:rPr>
          <w:sz w:val="24"/>
        </w:rPr>
        <w:t>one-on-one</w:t>
      </w:r>
      <w:r>
        <w:rPr>
          <w:spacing w:val="-5"/>
          <w:sz w:val="24"/>
        </w:rPr>
        <w:t> </w:t>
      </w:r>
      <w:r>
        <w:rPr>
          <w:sz w:val="24"/>
        </w:rPr>
        <w:t>60-minute</w:t>
      </w:r>
      <w:r>
        <w:rPr>
          <w:spacing w:val="-5"/>
          <w:sz w:val="24"/>
        </w:rPr>
        <w:t> </w:t>
      </w:r>
      <w:r>
        <w:rPr>
          <w:sz w:val="24"/>
        </w:rPr>
        <w:t>mentoring</w:t>
      </w:r>
      <w:r>
        <w:rPr>
          <w:spacing w:val="-7"/>
          <w:sz w:val="24"/>
        </w:rPr>
        <w:t> </w:t>
      </w:r>
      <w:r>
        <w:rPr>
          <w:sz w:val="24"/>
        </w:rPr>
        <w:t>sessions</w:t>
      </w:r>
      <w:r>
        <w:rPr>
          <w:spacing w:val="-4"/>
          <w:sz w:val="24"/>
        </w:rPr>
        <w:t> </w:t>
      </w:r>
      <w:r>
        <w:rPr>
          <w:sz w:val="24"/>
        </w:rPr>
        <w:t>with</w:t>
      </w:r>
      <w:r>
        <w:rPr>
          <w:spacing w:val="-4"/>
          <w:sz w:val="24"/>
        </w:rPr>
        <w:t> </w:t>
      </w:r>
      <w:r>
        <w:rPr>
          <w:sz w:val="24"/>
        </w:rPr>
        <w:t>their mentees</w:t>
      </w:r>
      <w:r>
        <w:rPr>
          <w:spacing w:val="-10"/>
          <w:sz w:val="24"/>
        </w:rPr>
        <w:t> </w:t>
      </w:r>
      <w:r>
        <w:rPr>
          <w:sz w:val="24"/>
        </w:rPr>
        <w:t>each</w:t>
      </w:r>
      <w:r>
        <w:rPr>
          <w:spacing w:val="-5"/>
          <w:sz w:val="24"/>
        </w:rPr>
        <w:t> </w:t>
      </w:r>
      <w:r>
        <w:rPr>
          <w:sz w:val="24"/>
        </w:rPr>
        <w:t>academic</w:t>
      </w:r>
      <w:r>
        <w:rPr>
          <w:spacing w:val="-2"/>
          <w:sz w:val="24"/>
        </w:rPr>
        <w:t> </w:t>
      </w:r>
      <w:r>
        <w:rPr>
          <w:sz w:val="24"/>
        </w:rPr>
        <w:t>year</w:t>
      </w:r>
      <w:r>
        <w:rPr>
          <w:spacing w:val="-6"/>
          <w:sz w:val="24"/>
        </w:rPr>
        <w:t> </w:t>
      </w:r>
      <w:r>
        <w:rPr>
          <w:sz w:val="24"/>
        </w:rPr>
        <w:t>using</w:t>
      </w:r>
      <w:r>
        <w:rPr>
          <w:spacing w:val="-8"/>
          <w:sz w:val="24"/>
        </w:rPr>
        <w:t> </w:t>
      </w:r>
      <w:r>
        <w:rPr>
          <w:sz w:val="24"/>
        </w:rPr>
        <w:t>support</w:t>
      </w:r>
      <w:r>
        <w:rPr>
          <w:spacing w:val="-5"/>
          <w:sz w:val="24"/>
        </w:rPr>
        <w:t> </w:t>
      </w:r>
      <w:r>
        <w:rPr>
          <w:sz w:val="24"/>
        </w:rPr>
        <w:t>from</w:t>
      </w:r>
      <w:r>
        <w:rPr>
          <w:spacing w:val="-5"/>
          <w:sz w:val="24"/>
        </w:rPr>
        <w:t> </w:t>
      </w:r>
      <w:r>
        <w:rPr>
          <w:sz w:val="24"/>
        </w:rPr>
        <w:t>the</w:t>
      </w:r>
      <w:r>
        <w:rPr>
          <w:spacing w:val="-6"/>
          <w:sz w:val="24"/>
        </w:rPr>
        <w:t> </w:t>
      </w:r>
      <w:r>
        <w:rPr>
          <w:sz w:val="24"/>
        </w:rPr>
        <w:t>Faculty</w:t>
      </w:r>
      <w:r>
        <w:rPr>
          <w:spacing w:val="-8"/>
          <w:sz w:val="24"/>
        </w:rPr>
        <w:t> </w:t>
      </w:r>
      <w:r>
        <w:rPr>
          <w:sz w:val="24"/>
        </w:rPr>
        <w:t>Development Committee’s resource materials.</w:t>
      </w:r>
    </w:p>
    <w:p>
      <w:pPr>
        <w:pStyle w:val="BodyText"/>
        <w:spacing w:before="9"/>
        <w:rPr>
          <w:sz w:val="23"/>
        </w:rPr>
      </w:pPr>
    </w:p>
    <w:p>
      <w:pPr>
        <w:pStyle w:val="BodyText"/>
        <w:ind w:left="100"/>
        <w:jc w:val="both"/>
      </w:pPr>
      <w:r>
        <w:rPr/>
        <w:t>Each</w:t>
      </w:r>
      <w:r>
        <w:rPr>
          <w:spacing w:val="-2"/>
        </w:rPr>
        <w:t> </w:t>
      </w:r>
      <w:r>
        <w:rPr/>
        <w:t>academic</w:t>
      </w:r>
      <w:r>
        <w:rPr>
          <w:spacing w:val="1"/>
        </w:rPr>
        <w:t> </w:t>
      </w:r>
      <w:r>
        <w:rPr/>
        <w:t>year</w:t>
      </w:r>
      <w:r>
        <w:rPr>
          <w:spacing w:val="-2"/>
        </w:rPr>
        <w:t> </w:t>
      </w:r>
      <w:r>
        <w:rPr/>
        <w:t>during</w:t>
      </w:r>
      <w:r>
        <w:rPr>
          <w:spacing w:val="-4"/>
        </w:rPr>
        <w:t> </w:t>
      </w:r>
      <w:r>
        <w:rPr/>
        <w:t>the</w:t>
      </w:r>
      <w:r>
        <w:rPr>
          <w:spacing w:val="-1"/>
        </w:rPr>
        <w:t> </w:t>
      </w:r>
      <w:r>
        <w:rPr/>
        <w:t>annual</w:t>
      </w:r>
      <w:r>
        <w:rPr>
          <w:spacing w:val="-1"/>
        </w:rPr>
        <w:t> </w:t>
      </w:r>
      <w:r>
        <w:rPr/>
        <w:t>review</w:t>
      </w:r>
      <w:r>
        <w:rPr>
          <w:spacing w:val="-3"/>
        </w:rPr>
        <w:t> </w:t>
      </w:r>
      <w:r>
        <w:rPr/>
        <w:t>meeting,</w:t>
      </w:r>
      <w:r>
        <w:rPr>
          <w:spacing w:val="-1"/>
        </w:rPr>
        <w:t> </w:t>
      </w:r>
      <w:r>
        <w:rPr/>
        <w:t>pre-tenured</w:t>
      </w:r>
      <w:r>
        <w:rPr>
          <w:spacing w:val="-2"/>
        </w:rPr>
        <w:t> </w:t>
      </w:r>
      <w:r>
        <w:rPr/>
        <w:t>and full</w:t>
      </w:r>
      <w:r>
        <w:rPr>
          <w:spacing w:val="-1"/>
        </w:rPr>
        <w:t> </w:t>
      </w:r>
      <w:r>
        <w:rPr/>
        <w:t>time</w:t>
      </w:r>
      <w:r>
        <w:rPr>
          <w:spacing w:val="-2"/>
        </w:rPr>
        <w:t> </w:t>
      </w:r>
      <w:r>
        <w:rPr>
          <w:spacing w:val="-5"/>
        </w:rPr>
        <w:t>NTT</w:t>
      </w:r>
    </w:p>
    <w:p>
      <w:pPr>
        <w:spacing w:after="0"/>
        <w:jc w:val="both"/>
        <w:sectPr>
          <w:headerReference w:type="default" r:id="rId5"/>
          <w:footerReference w:type="default" r:id="rId6"/>
          <w:type w:val="continuous"/>
          <w:pgSz w:w="12240" w:h="15840"/>
          <w:pgMar w:header="727" w:footer="1022" w:top="1380" w:bottom="1220" w:left="1340" w:right="1560"/>
          <w:pgNumType w:start="1"/>
        </w:sectPr>
      </w:pPr>
    </w:p>
    <w:p>
      <w:pPr>
        <w:pStyle w:val="BodyText"/>
        <w:spacing w:before="80"/>
        <w:ind w:left="100" w:right="220"/>
      </w:pPr>
      <w:r>
        <w:rPr/>
        <w:t>faculty</w:t>
      </w:r>
      <w:r>
        <w:rPr>
          <w:spacing w:val="-8"/>
        </w:rPr>
        <w:t> </w:t>
      </w:r>
      <w:r>
        <w:rPr/>
        <w:t>members</w:t>
      </w:r>
      <w:r>
        <w:rPr>
          <w:spacing w:val="-3"/>
        </w:rPr>
        <w:t> </w:t>
      </w:r>
      <w:r>
        <w:rPr/>
        <w:t>will</w:t>
      </w:r>
      <w:r>
        <w:rPr>
          <w:spacing w:val="-3"/>
        </w:rPr>
        <w:t> </w:t>
      </w:r>
      <w:r>
        <w:rPr/>
        <w:t>participate</w:t>
      </w:r>
      <w:r>
        <w:rPr>
          <w:spacing w:val="-4"/>
        </w:rPr>
        <w:t> </w:t>
      </w:r>
      <w:r>
        <w:rPr/>
        <w:t>in</w:t>
      </w:r>
      <w:r>
        <w:rPr>
          <w:spacing w:val="-3"/>
        </w:rPr>
        <w:t> </w:t>
      </w:r>
      <w:r>
        <w:rPr/>
        <w:t>a</w:t>
      </w:r>
      <w:r>
        <w:rPr>
          <w:spacing w:val="-4"/>
        </w:rPr>
        <w:t> </w:t>
      </w:r>
      <w:r>
        <w:rPr/>
        <w:t>discussion</w:t>
      </w:r>
      <w:r>
        <w:rPr>
          <w:spacing w:val="-3"/>
        </w:rPr>
        <w:t> </w:t>
      </w:r>
      <w:r>
        <w:rPr/>
        <w:t>with</w:t>
      </w:r>
      <w:r>
        <w:rPr>
          <w:spacing w:val="-4"/>
        </w:rPr>
        <w:t> </w:t>
      </w:r>
      <w:r>
        <w:rPr/>
        <w:t>the</w:t>
      </w:r>
      <w:r>
        <w:rPr>
          <w:spacing w:val="-4"/>
        </w:rPr>
        <w:t> </w:t>
      </w:r>
      <w:r>
        <w:rPr/>
        <w:t>department</w:t>
      </w:r>
      <w:r>
        <w:rPr>
          <w:spacing w:val="-3"/>
        </w:rPr>
        <w:t> </w:t>
      </w:r>
      <w:r>
        <w:rPr/>
        <w:t>chair</w:t>
      </w:r>
      <w:r>
        <w:rPr>
          <w:spacing w:val="-2"/>
        </w:rPr>
        <w:t> </w:t>
      </w:r>
      <w:r>
        <w:rPr/>
        <w:t>regarding</w:t>
      </w:r>
      <w:r>
        <w:rPr>
          <w:spacing w:val="-6"/>
        </w:rPr>
        <w:t> </w:t>
      </w:r>
      <w:r>
        <w:rPr/>
        <w:t>their relationship with their lead mentors and their mentoring needs.</w:t>
      </w:r>
    </w:p>
    <w:p>
      <w:pPr>
        <w:pStyle w:val="BodyText"/>
        <w:rPr>
          <w:sz w:val="26"/>
        </w:rPr>
      </w:pPr>
    </w:p>
    <w:p>
      <w:pPr>
        <w:pStyle w:val="BodyText"/>
        <w:spacing w:before="152"/>
        <w:ind w:left="100" w:right="112"/>
      </w:pPr>
      <w:r>
        <w:rPr/>
        <w:t>At the end of the first and second academic years, pre-tenured and full time NTT faculty members</w:t>
      </w:r>
      <w:r>
        <w:rPr>
          <w:spacing w:val="-3"/>
        </w:rPr>
        <w:t> </w:t>
      </w:r>
      <w:r>
        <w:rPr/>
        <w:t>and</w:t>
      </w:r>
      <w:r>
        <w:rPr>
          <w:spacing w:val="-3"/>
        </w:rPr>
        <w:t> </w:t>
      </w:r>
      <w:r>
        <w:rPr/>
        <w:t>their</w:t>
      </w:r>
      <w:r>
        <w:rPr>
          <w:spacing w:val="-4"/>
        </w:rPr>
        <w:t> </w:t>
      </w:r>
      <w:r>
        <w:rPr/>
        <w:t>lead</w:t>
      </w:r>
      <w:r>
        <w:rPr>
          <w:spacing w:val="-1"/>
        </w:rPr>
        <w:t> </w:t>
      </w:r>
      <w:r>
        <w:rPr/>
        <w:t>mentors</w:t>
      </w:r>
      <w:r>
        <w:rPr>
          <w:spacing w:val="-3"/>
        </w:rPr>
        <w:t> </w:t>
      </w:r>
      <w:r>
        <w:rPr/>
        <w:t>will</w:t>
      </w:r>
      <w:r>
        <w:rPr>
          <w:spacing w:val="-3"/>
        </w:rPr>
        <w:t> </w:t>
      </w:r>
      <w:r>
        <w:rPr/>
        <w:t>also</w:t>
      </w:r>
      <w:r>
        <w:rPr>
          <w:spacing w:val="-3"/>
        </w:rPr>
        <w:t> </w:t>
      </w:r>
      <w:r>
        <w:rPr/>
        <w:t>complete</w:t>
      </w:r>
      <w:r>
        <w:rPr>
          <w:spacing w:val="-4"/>
        </w:rPr>
        <w:t> </w:t>
      </w:r>
      <w:r>
        <w:rPr/>
        <w:t>a</w:t>
      </w:r>
      <w:r>
        <w:rPr>
          <w:spacing w:val="-4"/>
        </w:rPr>
        <w:t> </w:t>
      </w:r>
      <w:r>
        <w:rPr/>
        <w:t>brief</w:t>
      </w:r>
      <w:r>
        <w:rPr>
          <w:spacing w:val="-2"/>
        </w:rPr>
        <w:t> </w:t>
      </w:r>
      <w:r>
        <w:rPr/>
        <w:t>evaluation</w:t>
      </w:r>
      <w:r>
        <w:rPr>
          <w:spacing w:val="-3"/>
        </w:rPr>
        <w:t> </w:t>
      </w:r>
      <w:r>
        <w:rPr/>
        <w:t>form</w:t>
      </w:r>
      <w:r>
        <w:rPr>
          <w:spacing w:val="-3"/>
        </w:rPr>
        <w:t> </w:t>
      </w:r>
      <w:r>
        <w:rPr/>
        <w:t>to</w:t>
      </w:r>
      <w:r>
        <w:rPr>
          <w:spacing w:val="-3"/>
        </w:rPr>
        <w:t> </w:t>
      </w:r>
      <w:r>
        <w:rPr/>
        <w:t>provide</w:t>
      </w:r>
      <w:r>
        <w:rPr>
          <w:spacing w:val="-4"/>
        </w:rPr>
        <w:t> </w:t>
      </w:r>
      <w:r>
        <w:rPr/>
        <w:t>feedback on their mentoring relationship (no later than May 1). Copies of the lead mentors’ and mentees’ evaluation forms will be given to the lead mentors, mentees, and the mentees’ department chairs or center directors.</w:t>
      </w:r>
    </w:p>
    <w:p>
      <w:pPr>
        <w:pStyle w:val="BodyText"/>
        <w:rPr>
          <w:sz w:val="26"/>
        </w:rPr>
      </w:pPr>
    </w:p>
    <w:p>
      <w:pPr>
        <w:pStyle w:val="BodyText"/>
        <w:spacing w:before="157"/>
        <w:ind w:left="100"/>
      </w:pPr>
      <w:r>
        <w:rPr/>
        <w:t>Upon satisfactory completion of their mentoring duties each year, lead mentors will be recognized</w:t>
      </w:r>
      <w:r>
        <w:rPr>
          <w:spacing w:val="-2"/>
        </w:rPr>
        <w:t> </w:t>
      </w:r>
      <w:r>
        <w:rPr/>
        <w:t>for</w:t>
      </w:r>
      <w:r>
        <w:rPr>
          <w:spacing w:val="-3"/>
        </w:rPr>
        <w:t> </w:t>
      </w:r>
      <w:r>
        <w:rPr/>
        <w:t>the</w:t>
      </w:r>
      <w:r>
        <w:rPr>
          <w:spacing w:val="-3"/>
        </w:rPr>
        <w:t> </w:t>
      </w:r>
      <w:r>
        <w:rPr/>
        <w:t>mentoring</w:t>
      </w:r>
      <w:r>
        <w:rPr>
          <w:spacing w:val="-5"/>
        </w:rPr>
        <w:t> </w:t>
      </w:r>
      <w:r>
        <w:rPr/>
        <w:t>they</w:t>
      </w:r>
      <w:r>
        <w:rPr>
          <w:spacing w:val="-7"/>
        </w:rPr>
        <w:t> </w:t>
      </w:r>
      <w:r>
        <w:rPr/>
        <w:t>provide</w:t>
      </w:r>
      <w:r>
        <w:rPr>
          <w:spacing w:val="-3"/>
        </w:rPr>
        <w:t> </w:t>
      </w:r>
      <w:r>
        <w:rPr/>
        <w:t>to</w:t>
      </w:r>
      <w:r>
        <w:rPr>
          <w:spacing w:val="-2"/>
        </w:rPr>
        <w:t> </w:t>
      </w:r>
      <w:r>
        <w:rPr/>
        <w:t>each pre-tenured</w:t>
      </w:r>
      <w:r>
        <w:rPr>
          <w:spacing w:val="-2"/>
        </w:rPr>
        <w:t> </w:t>
      </w:r>
      <w:r>
        <w:rPr/>
        <w:t>faculty</w:t>
      </w:r>
      <w:r>
        <w:rPr>
          <w:spacing w:val="-7"/>
        </w:rPr>
        <w:t> </w:t>
      </w:r>
      <w:r>
        <w:rPr/>
        <w:t>member</w:t>
      </w:r>
      <w:r>
        <w:rPr>
          <w:spacing w:val="-3"/>
        </w:rPr>
        <w:t> </w:t>
      </w:r>
      <w:r>
        <w:rPr/>
        <w:t>over</w:t>
      </w:r>
      <w:r>
        <w:rPr>
          <w:spacing w:val="-1"/>
        </w:rPr>
        <w:t> </w:t>
      </w:r>
      <w:r>
        <w:rPr/>
        <w:t>a</w:t>
      </w:r>
      <w:r>
        <w:rPr>
          <w:spacing w:val="-3"/>
        </w:rPr>
        <w:t> </w:t>
      </w:r>
      <w:r>
        <w:rPr/>
        <w:t>period</w:t>
      </w:r>
      <w:r>
        <w:rPr>
          <w:spacing w:val="-2"/>
        </w:rPr>
        <w:t> </w:t>
      </w:r>
      <w:r>
        <w:rPr/>
        <w:t>of three years. We</w:t>
      </w:r>
      <w:r>
        <w:rPr>
          <w:spacing w:val="-1"/>
        </w:rPr>
        <w:t> </w:t>
      </w:r>
      <w:r>
        <w:rPr/>
        <w:t>encourage</w:t>
      </w:r>
      <w:r>
        <w:rPr>
          <w:spacing w:val="-1"/>
        </w:rPr>
        <w:t> </w:t>
      </w:r>
      <w:r>
        <w:rPr/>
        <w:t>the</w:t>
      </w:r>
      <w:r>
        <w:rPr>
          <w:spacing w:val="-1"/>
        </w:rPr>
        <w:t> </w:t>
      </w:r>
      <w:r>
        <w:rPr/>
        <w:t>School of</w:t>
      </w:r>
      <w:r>
        <w:rPr>
          <w:spacing w:val="-1"/>
        </w:rPr>
        <w:t> </w:t>
      </w:r>
      <w:r>
        <w:rPr/>
        <w:t>Education to support the</w:t>
      </w:r>
      <w:r>
        <w:rPr>
          <w:spacing w:val="-1"/>
        </w:rPr>
        <w:t> </w:t>
      </w:r>
      <w:r>
        <w:rPr/>
        <w:t>lead mentors financially. An example of such support is a cash-based faculty mentoring award to recognize outstanding faculty mentors. We also encourage department chairs or center directors and merit review committees to recognize the work of lead mentors as a time-intensive and integral service commitment in the School of Education.</w:t>
      </w:r>
    </w:p>
    <w:p>
      <w:pPr>
        <w:pStyle w:val="BodyText"/>
        <w:rPr>
          <w:sz w:val="26"/>
        </w:rPr>
      </w:pPr>
    </w:p>
    <w:p>
      <w:pPr>
        <w:pStyle w:val="BodyText"/>
        <w:spacing w:before="11"/>
        <w:rPr>
          <w:sz w:val="29"/>
        </w:rPr>
      </w:pPr>
    </w:p>
    <w:p>
      <w:pPr>
        <w:pStyle w:val="BodyText"/>
        <w:ind w:left="100" w:right="568"/>
      </w:pPr>
      <w:r>
        <w:rPr/>
        <w:t>The</w:t>
      </w:r>
      <w:r>
        <w:rPr>
          <w:spacing w:val="-4"/>
        </w:rPr>
        <w:t> </w:t>
      </w:r>
      <w:r>
        <w:rPr/>
        <w:t>Faculty</w:t>
      </w:r>
      <w:r>
        <w:rPr>
          <w:spacing w:val="-6"/>
        </w:rPr>
        <w:t> </w:t>
      </w:r>
      <w:r>
        <w:rPr/>
        <w:t>Development</w:t>
      </w:r>
      <w:r>
        <w:rPr>
          <w:spacing w:val="-3"/>
        </w:rPr>
        <w:t> </w:t>
      </w:r>
      <w:r>
        <w:rPr/>
        <w:t>Committee</w:t>
      </w:r>
      <w:r>
        <w:rPr>
          <w:spacing w:val="-4"/>
        </w:rPr>
        <w:t> </w:t>
      </w:r>
      <w:r>
        <w:rPr/>
        <w:t>is</w:t>
      </w:r>
      <w:r>
        <w:rPr>
          <w:spacing w:val="-3"/>
        </w:rPr>
        <w:t> </w:t>
      </w:r>
      <w:r>
        <w:rPr/>
        <w:t>responsible</w:t>
      </w:r>
      <w:r>
        <w:rPr>
          <w:spacing w:val="-4"/>
        </w:rPr>
        <w:t> </w:t>
      </w:r>
      <w:r>
        <w:rPr/>
        <w:t>for</w:t>
      </w:r>
      <w:r>
        <w:rPr>
          <w:spacing w:val="-4"/>
        </w:rPr>
        <w:t> </w:t>
      </w:r>
      <w:r>
        <w:rPr/>
        <w:t>providing</w:t>
      </w:r>
      <w:r>
        <w:rPr>
          <w:spacing w:val="-6"/>
        </w:rPr>
        <w:t> </w:t>
      </w:r>
      <w:r>
        <w:rPr/>
        <w:t>resources</w:t>
      </w:r>
      <w:r>
        <w:rPr>
          <w:spacing w:val="-3"/>
        </w:rPr>
        <w:t> </w:t>
      </w:r>
      <w:r>
        <w:rPr/>
        <w:t>to</w:t>
      </w:r>
      <w:r>
        <w:rPr>
          <w:spacing w:val="-3"/>
        </w:rPr>
        <w:t> </w:t>
      </w:r>
      <w:r>
        <w:rPr/>
        <w:t>mentors and mentees that will enhance the effectiveness of their mentoring experiences.</w:t>
      </w:r>
    </w:p>
    <w:sectPr>
      <w:pgSz w:w="12240" w:h="15840"/>
      <w:pgMar w:header="727" w:footer="1022" w:top="1380" w:bottom="1220" w:left="1340" w:right="1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49440">
              <wp:simplePos x="0" y="0"/>
              <wp:positionH relativeFrom="page">
                <wp:posOffset>3800855</wp:posOffset>
              </wp:positionH>
              <wp:positionV relativeFrom="page">
                <wp:posOffset>9270010</wp:posOffset>
              </wp:positionV>
              <wp:extent cx="15938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9385" cy="180975"/>
                      </a:xfrm>
                      <a:prstGeom prst="rect">
                        <a:avLst/>
                      </a:prstGeom>
                    </wps:spPr>
                    <wps:txbx>
                      <w:txbxContent>
                        <w:p>
                          <w:pPr>
                            <w:spacing w:before="11"/>
                            <w:ind w:left="60" w:right="0" w:firstLine="0"/>
                            <w:jc w:val="left"/>
                            <w:rPr>
                              <w:sz w:val="22"/>
                            </w:rPr>
                          </w:pPr>
                          <w:r>
                            <w:rPr>
                              <w:w w:val="100"/>
                              <w:sz w:val="22"/>
                            </w:rPr>
                            <w:fldChar w:fldCharType="begin"/>
                          </w:r>
                          <w:r>
                            <w:rPr>
                              <w:w w:val="100"/>
                              <w:sz w:val="22"/>
                            </w:rPr>
                            <w:instrText> PAGE </w:instrText>
                          </w:r>
                          <w:r>
                            <w:rPr>
                              <w:w w:val="100"/>
                              <w:sz w:val="22"/>
                            </w:rPr>
                            <w:fldChar w:fldCharType="separate"/>
                          </w:r>
                          <w:r>
                            <w:rPr>
                              <w:w w:val="100"/>
                              <w:sz w:val="22"/>
                            </w:rPr>
                            <w:t>1</w:t>
                          </w:r>
                          <w:r>
                            <w:rPr>
                              <w:w w:val="100"/>
                              <w:sz w:val="22"/>
                            </w:rPr>
                            <w:fldChar w:fldCharType="end"/>
                          </w:r>
                        </w:p>
                      </w:txbxContent>
                    </wps:txbx>
                    <wps:bodyPr wrap="square" lIns="0" tIns="0" rIns="0" bIns="0" rtlCol="0">
                      <a:noAutofit/>
                    </wps:bodyPr>
                  </wps:wsp>
                </a:graphicData>
              </a:graphic>
            </wp:anchor>
          </w:drawing>
        </mc:Choice>
        <mc:Fallback>
          <w:pict>
            <v:shape style="position:absolute;margin-left:299.279999pt;margin-top:729.922119pt;width:12.55pt;height:14.25pt;mso-position-horizontal-relative:page;mso-position-vertical-relative:page;z-index:-15767040" type="#_x0000_t202" id="docshape2" filled="false" stroked="false">
              <v:textbox inset="0,0,0,0">
                <w:txbxContent>
                  <w:p>
                    <w:pPr>
                      <w:spacing w:before="11"/>
                      <w:ind w:left="60" w:right="0" w:firstLine="0"/>
                      <w:jc w:val="left"/>
                      <w:rPr>
                        <w:sz w:val="22"/>
                      </w:rPr>
                    </w:pPr>
                    <w:r>
                      <w:rPr>
                        <w:w w:val="100"/>
                        <w:sz w:val="22"/>
                      </w:rPr>
                      <w:fldChar w:fldCharType="begin"/>
                    </w:r>
                    <w:r>
                      <w:rPr>
                        <w:w w:val="100"/>
                        <w:sz w:val="22"/>
                      </w:rPr>
                      <w:instrText> PAGE </w:instrText>
                    </w:r>
                    <w:r>
                      <w:rPr>
                        <w:w w:val="100"/>
                        <w:sz w:val="22"/>
                      </w:rPr>
                      <w:fldChar w:fldCharType="separate"/>
                    </w:r>
                    <w:r>
                      <w:rPr>
                        <w:w w:val="100"/>
                        <w:sz w:val="22"/>
                      </w:rPr>
                      <w:t>1</w:t>
                    </w:r>
                    <w:r>
                      <w:rPr>
                        <w:w w:val="10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48928">
              <wp:simplePos x="0" y="0"/>
              <wp:positionH relativeFrom="page">
                <wp:posOffset>6570980</wp:posOffset>
              </wp:positionH>
              <wp:positionV relativeFrom="page">
                <wp:posOffset>449098</wp:posOffset>
              </wp:positionV>
              <wp:extent cx="34099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40995" cy="180975"/>
                      </a:xfrm>
                      <a:prstGeom prst="rect">
                        <a:avLst/>
                      </a:prstGeom>
                    </wps:spPr>
                    <wps:txbx>
                      <w:txbxContent>
                        <w:p>
                          <w:pPr>
                            <w:spacing w:before="11"/>
                            <w:ind w:left="20" w:right="0" w:firstLine="0"/>
                            <w:jc w:val="left"/>
                            <w:rPr>
                              <w:sz w:val="22"/>
                            </w:rPr>
                          </w:pPr>
                          <w:r>
                            <w:rPr>
                              <w:spacing w:val="-2"/>
                              <w:sz w:val="22"/>
                            </w:rPr>
                            <w:t>20.36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7.400024pt;margin-top:35.36211pt;width:26.85pt;height:14.25pt;mso-position-horizontal-relative:page;mso-position-vertical-relative:page;z-index:-15767552" type="#_x0000_t202" id="docshape1" filled="false" stroked="false">
              <v:textbox inset="0,0,0,0">
                <w:txbxContent>
                  <w:p>
                    <w:pPr>
                      <w:spacing w:before="11"/>
                      <w:ind w:left="20" w:right="0" w:firstLine="0"/>
                      <w:jc w:val="left"/>
                      <w:rPr>
                        <w:sz w:val="22"/>
                      </w:rPr>
                    </w:pPr>
                    <w:r>
                      <w:rPr>
                        <w:spacing w:val="-2"/>
                        <w:sz w:val="22"/>
                      </w:rPr>
                      <w:t>20.36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95"/>
        <w:sz w:val="20"/>
        <w:szCs w:val="20"/>
        <w:lang w:val="en-US" w:eastAsia="en-US" w:bidi="ar-SA"/>
      </w:rPr>
    </w:lvl>
    <w:lvl w:ilvl="1">
      <w:start w:val="0"/>
      <w:numFmt w:val="bullet"/>
      <w:lvlText w:val="•"/>
      <w:lvlJc w:val="left"/>
      <w:pPr>
        <w:ind w:left="1672" w:hanging="360"/>
      </w:pPr>
      <w:rPr>
        <w:rFonts w:hint="default"/>
        <w:lang w:val="en-US" w:eastAsia="en-US" w:bidi="ar-SA"/>
      </w:rPr>
    </w:lvl>
    <w:lvl w:ilvl="2">
      <w:start w:val="0"/>
      <w:numFmt w:val="bullet"/>
      <w:lvlText w:val="•"/>
      <w:lvlJc w:val="left"/>
      <w:pPr>
        <w:ind w:left="2524" w:hanging="360"/>
      </w:pPr>
      <w:rPr>
        <w:rFonts w:hint="default"/>
        <w:lang w:val="en-US" w:eastAsia="en-US" w:bidi="ar-SA"/>
      </w:rPr>
    </w:lvl>
    <w:lvl w:ilvl="3">
      <w:start w:val="0"/>
      <w:numFmt w:val="bullet"/>
      <w:lvlText w:val="•"/>
      <w:lvlJc w:val="left"/>
      <w:pPr>
        <w:ind w:left="3376" w:hanging="360"/>
      </w:pPr>
      <w:rPr>
        <w:rFonts w:hint="default"/>
        <w:lang w:val="en-US" w:eastAsia="en-US" w:bidi="ar-SA"/>
      </w:rPr>
    </w:lvl>
    <w:lvl w:ilvl="4">
      <w:start w:val="0"/>
      <w:numFmt w:val="bullet"/>
      <w:lvlText w:val="•"/>
      <w:lvlJc w:val="left"/>
      <w:pPr>
        <w:ind w:left="4228"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5932" w:hanging="360"/>
      </w:pPr>
      <w:rPr>
        <w:rFonts w:hint="default"/>
        <w:lang w:val="en-US" w:eastAsia="en-US" w:bidi="ar-SA"/>
      </w:rPr>
    </w:lvl>
    <w:lvl w:ilvl="7">
      <w:start w:val="0"/>
      <w:numFmt w:val="bullet"/>
      <w:lvlText w:val="•"/>
      <w:lvlJc w:val="left"/>
      <w:pPr>
        <w:ind w:left="6784" w:hanging="360"/>
      </w:pPr>
      <w:rPr>
        <w:rFonts w:hint="default"/>
        <w:lang w:val="en-US" w:eastAsia="en-US" w:bidi="ar-SA"/>
      </w:rPr>
    </w:lvl>
    <w:lvl w:ilvl="8">
      <w:start w:val="0"/>
      <w:numFmt w:val="bullet"/>
      <w:lvlText w:val="•"/>
      <w:lvlJc w:val="left"/>
      <w:pPr>
        <w:ind w:left="763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335" w:right="1118"/>
      <w:jc w:val="center"/>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62"/>
      <w:ind w:left="1335" w:right="1118"/>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819"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Daley, Sharon Lynn</dc:creator>
  <dcterms:created xsi:type="dcterms:W3CDTF">2023-11-29T16:54:28Z</dcterms:created>
  <dcterms:modified xsi:type="dcterms:W3CDTF">2023-11-29T16:54:28Z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Acrobat PDFMaker 19 for Word</vt:lpwstr>
  </property>
  <property fmtid="{D5CDD505-2E9C-101B-9397-08002B2CF9AE}" pid="4" name="LastSaved">
    <vt:filetime>2023-11-29T00:00:00Z</vt:filetime>
  </property>
  <property fmtid="{D5CDD505-2E9C-101B-9397-08002B2CF9AE}" pid="5" name="Producer">
    <vt:lpwstr>Adobe PDF Library 19.21.90</vt:lpwstr>
  </property>
  <property fmtid="{D5CDD505-2E9C-101B-9397-08002B2CF9AE}" pid="6" name="SourceModified">
    <vt:lpwstr>D:20200204172838</vt:lpwstr>
  </property>
</Properties>
</file>