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41"/>
        <w:ind w:left="3179" w:right="2959"/>
      </w:pPr>
      <w:r>
        <w:rPr/>
        <w:t>IU</w:t>
      </w:r>
      <w:r>
        <w:rPr>
          <w:spacing w:val="-2"/>
        </w:rPr>
        <w:t> </w:t>
      </w:r>
      <w:r>
        <w:rPr/>
        <w:t>Bloomington</w:t>
      </w:r>
      <w:r>
        <w:rPr>
          <w:spacing w:val="-2"/>
        </w:rPr>
        <w:t> </w:t>
      </w:r>
      <w:r>
        <w:rPr/>
        <w:t>School</w:t>
      </w:r>
      <w:r>
        <w:rPr>
          <w:spacing w:val="-3"/>
        </w:rPr>
        <w:t> </w:t>
      </w:r>
      <w:r>
        <w:rPr/>
        <w:t>of </w:t>
      </w:r>
      <w:r>
        <w:rPr>
          <w:spacing w:val="-2"/>
        </w:rPr>
        <w:t>Education</w:t>
      </w:r>
    </w:p>
    <w:p>
      <w:pPr>
        <w:pStyle w:val="Title"/>
      </w:pPr>
      <w:r>
        <w:rPr/>
        <w:t>SHORT-TERM</w:t>
      </w:r>
      <w:r>
        <w:rPr>
          <w:spacing w:val="-6"/>
        </w:rPr>
        <w:t> </w:t>
      </w:r>
      <w:r>
        <w:rPr/>
        <w:t>TEACHER</w:t>
      </w:r>
      <w:r>
        <w:rPr>
          <w:spacing w:val="-7"/>
        </w:rPr>
        <w:t> </w:t>
      </w:r>
      <w:r>
        <w:rPr/>
        <w:t>EDUCATION</w:t>
      </w:r>
      <w:r>
        <w:rPr>
          <w:spacing w:val="-4"/>
        </w:rPr>
        <w:t> </w:t>
      </w:r>
      <w:r>
        <w:rPr/>
        <w:t>REFORM</w:t>
      </w:r>
      <w:r>
        <w:rPr>
          <w:spacing w:val="-6"/>
        </w:rPr>
        <w:t> </w:t>
      </w:r>
      <w:r>
        <w:rPr/>
        <w:t>RECOMMENDATIONS,</w:t>
      </w:r>
      <w:r>
        <w:rPr>
          <w:spacing w:val="-5"/>
        </w:rPr>
        <w:t> </w:t>
      </w:r>
      <w:r>
        <w:rPr/>
        <w:t>IN</w:t>
      </w:r>
      <w:r>
        <w:rPr>
          <w:spacing w:val="-7"/>
        </w:rPr>
        <w:t> </w:t>
      </w:r>
      <w:r>
        <w:rPr/>
        <w:t>RESPONSE</w:t>
      </w:r>
      <w:r>
        <w:rPr>
          <w:spacing w:val="-1"/>
        </w:rPr>
        <w:t> </w:t>
      </w:r>
      <w:r>
        <w:rPr/>
        <w:t>TO </w:t>
      </w:r>
      <w:r>
        <w:rPr>
          <w:spacing w:val="-2"/>
        </w:rPr>
        <w:t>GRADPACT</w:t>
      </w:r>
    </w:p>
    <w:p>
      <w:pPr>
        <w:pStyle w:val="BodyText"/>
        <w:rPr>
          <w:b/>
        </w:rPr>
      </w:pPr>
    </w:p>
    <w:p>
      <w:pPr>
        <w:pStyle w:val="BodyText"/>
        <w:rPr>
          <w:b/>
        </w:rPr>
      </w:pPr>
    </w:p>
    <w:p>
      <w:pPr>
        <w:pStyle w:val="BodyText"/>
        <w:ind w:left="300" w:right="100"/>
      </w:pPr>
      <w:r>
        <w:rPr/>
        <w:t>The following recommendations have been widely discussed within the School of Education. They are the result of a rather concentrated process that began in January, 1995, at the end of the</w:t>
      </w:r>
      <w:r>
        <w:rPr>
          <w:spacing w:val="-2"/>
        </w:rPr>
        <w:t> </w:t>
      </w:r>
      <w:r>
        <w:rPr/>
        <w:t>School</w:t>
      </w:r>
      <w:r>
        <w:rPr>
          <w:spacing w:val="-2"/>
        </w:rPr>
        <w:t> </w:t>
      </w:r>
      <w:r>
        <w:rPr/>
        <w:t>of Education retreat on</w:t>
      </w:r>
      <w:r>
        <w:rPr>
          <w:spacing w:val="-1"/>
        </w:rPr>
        <w:t> </w:t>
      </w:r>
      <w:r>
        <w:rPr/>
        <w:t>teacher education.</w:t>
      </w:r>
      <w:r>
        <w:rPr>
          <w:spacing w:val="40"/>
        </w:rPr>
        <w:t> </w:t>
      </w:r>
      <w:r>
        <w:rPr/>
        <w:t>At</w:t>
      </w:r>
      <w:r>
        <w:rPr>
          <w:spacing w:val="-1"/>
        </w:rPr>
        <w:t> </w:t>
      </w:r>
      <w:r>
        <w:rPr/>
        <w:t>that</w:t>
      </w:r>
      <w:r>
        <w:rPr>
          <w:spacing w:val="-1"/>
        </w:rPr>
        <w:t> </w:t>
      </w:r>
      <w:r>
        <w:rPr/>
        <w:t>time</w:t>
      </w:r>
      <w:r>
        <w:rPr>
          <w:spacing w:val="-1"/>
        </w:rPr>
        <w:t> </w:t>
      </w:r>
      <w:r>
        <w:rPr/>
        <w:t>volunteers in each</w:t>
      </w:r>
      <w:r>
        <w:rPr>
          <w:spacing w:val="-1"/>
        </w:rPr>
        <w:t> </w:t>
      </w:r>
      <w:r>
        <w:rPr/>
        <w:t>program are were asked to undertake an examination of their program so that it would comply with what</w:t>
      </w:r>
      <w:r>
        <w:rPr>
          <w:spacing w:val="40"/>
        </w:rPr>
        <w:t> </w:t>
      </w:r>
      <w:r>
        <w:rPr/>
        <w:t>was then dubbed the "Indiana 4-Year Path" (now known as "GRADPACT");</w:t>
      </w:r>
      <w:r>
        <w:rPr>
          <w:spacing w:val="40"/>
        </w:rPr>
        <w:t> </w:t>
      </w:r>
      <w:r>
        <w:rPr/>
        <w:t>this option allows incoming first-year students to select particular programs that Indiana University will guarantee they will be able to complete within four years.</w:t>
      </w:r>
      <w:r>
        <w:rPr>
          <w:spacing w:val="40"/>
        </w:rPr>
        <w:t> </w:t>
      </w:r>
      <w:r>
        <w:rPr/>
        <w:t>The School of Education recommendations generated through this process were presented by the program area representatives at an open meeting held on March 3, and subsequently circulated to all</w:t>
      </w:r>
      <w:r>
        <w:rPr>
          <w:spacing w:val="-1"/>
        </w:rPr>
        <w:t> </w:t>
      </w:r>
      <w:r>
        <w:rPr/>
        <w:t>faculty members,</w:t>
      </w:r>
      <w:r>
        <w:rPr>
          <w:spacing w:val="-1"/>
        </w:rPr>
        <w:t> </w:t>
      </w:r>
      <w:r>
        <w:rPr/>
        <w:t>all</w:t>
      </w:r>
      <w:r>
        <w:rPr>
          <w:spacing w:val="-1"/>
        </w:rPr>
        <w:t> </w:t>
      </w:r>
      <w:r>
        <w:rPr/>
        <w:t>teacher education associate instructors, and selected undergraduate students</w:t>
      </w:r>
      <w:r>
        <w:rPr>
          <w:spacing w:val="-1"/>
        </w:rPr>
        <w:t> </w:t>
      </w:r>
      <w:r>
        <w:rPr/>
        <w:t>for their</w:t>
      </w:r>
      <w:r>
        <w:rPr>
          <w:spacing w:val="-5"/>
        </w:rPr>
        <w:t> </w:t>
      </w:r>
      <w:r>
        <w:rPr/>
        <w:t>feedback,</w:t>
      </w:r>
      <w:r>
        <w:rPr>
          <w:spacing w:val="-4"/>
        </w:rPr>
        <w:t> </w:t>
      </w:r>
      <w:r>
        <w:rPr/>
        <w:t>questions,</w:t>
      </w:r>
      <w:r>
        <w:rPr>
          <w:spacing w:val="-4"/>
        </w:rPr>
        <w:t> </w:t>
      </w:r>
      <w:r>
        <w:rPr/>
        <w:t>and</w:t>
      </w:r>
      <w:r>
        <w:rPr>
          <w:spacing w:val="-5"/>
        </w:rPr>
        <w:t> </w:t>
      </w:r>
      <w:r>
        <w:rPr/>
        <w:t>alternative</w:t>
      </w:r>
      <w:r>
        <w:rPr>
          <w:spacing w:val="-4"/>
        </w:rPr>
        <w:t> </w:t>
      </w:r>
      <w:r>
        <w:rPr/>
        <w:t>suggestions.</w:t>
      </w:r>
      <w:r>
        <w:rPr>
          <w:spacing w:val="-7"/>
        </w:rPr>
        <w:t> </w:t>
      </w:r>
      <w:r>
        <w:rPr/>
        <w:t>The</w:t>
      </w:r>
      <w:r>
        <w:rPr>
          <w:spacing w:val="-6"/>
        </w:rPr>
        <w:t> </w:t>
      </w:r>
      <w:r>
        <w:rPr/>
        <w:t>numerous</w:t>
      </w:r>
      <w:r>
        <w:rPr>
          <w:spacing w:val="-4"/>
        </w:rPr>
        <w:t> </w:t>
      </w:r>
      <w:r>
        <w:rPr/>
        <w:t>and</w:t>
      </w:r>
      <w:r>
        <w:rPr>
          <w:spacing w:val="-5"/>
        </w:rPr>
        <w:t> </w:t>
      </w:r>
      <w:r>
        <w:rPr/>
        <w:t>sometimes</w:t>
      </w:r>
      <w:r>
        <w:rPr>
          <w:spacing w:val="-3"/>
        </w:rPr>
        <w:t> </w:t>
      </w:r>
      <w:r>
        <w:rPr/>
        <w:t>animated feedback that resulted formed the basis for a second open meeting, held on March</w:t>
      </w:r>
    </w:p>
    <w:p>
      <w:pPr>
        <w:pStyle w:val="BodyText"/>
        <w:spacing w:before="1"/>
        <w:ind w:left="300" w:right="100"/>
      </w:pPr>
      <w:r>
        <w:rPr/>
        <w:t>At</w:t>
      </w:r>
      <w:r>
        <w:rPr>
          <w:spacing w:val="-2"/>
        </w:rPr>
        <w:t> </w:t>
      </w:r>
      <w:r>
        <w:rPr/>
        <w:t>that meeting, a</w:t>
      </w:r>
      <w:r>
        <w:rPr>
          <w:spacing w:val="-1"/>
        </w:rPr>
        <w:t> </w:t>
      </w:r>
      <w:r>
        <w:rPr/>
        <w:t>consensus</w:t>
      </w:r>
      <w:r>
        <w:rPr>
          <w:spacing w:val="-1"/>
        </w:rPr>
        <w:t> </w:t>
      </w:r>
      <w:r>
        <w:rPr/>
        <w:t>was</w:t>
      </w:r>
      <w:r>
        <w:rPr>
          <w:spacing w:val="-1"/>
        </w:rPr>
        <w:t> </w:t>
      </w:r>
      <w:r>
        <w:rPr/>
        <w:t>reached</w:t>
      </w:r>
      <w:r>
        <w:rPr>
          <w:spacing w:val="-2"/>
        </w:rPr>
        <w:t> </w:t>
      </w:r>
      <w:r>
        <w:rPr/>
        <w:t>about</w:t>
      </w:r>
      <w:r>
        <w:rPr>
          <w:spacing w:val="-4"/>
        </w:rPr>
        <w:t> </w:t>
      </w:r>
      <w:r>
        <w:rPr/>
        <w:t>the</w:t>
      </w:r>
      <w:r>
        <w:rPr>
          <w:spacing w:val="-3"/>
        </w:rPr>
        <w:t> </w:t>
      </w:r>
      <w:r>
        <w:rPr/>
        <w:t>short-term</w:t>
      </w:r>
      <w:r>
        <w:rPr>
          <w:spacing w:val="-3"/>
        </w:rPr>
        <w:t> </w:t>
      </w:r>
      <w:r>
        <w:rPr/>
        <w:t>changes</w:t>
      </w:r>
      <w:r>
        <w:rPr>
          <w:spacing w:val="-3"/>
        </w:rPr>
        <w:t> </w:t>
      </w:r>
      <w:r>
        <w:rPr/>
        <w:t>that will</w:t>
      </w:r>
      <w:r>
        <w:rPr>
          <w:spacing w:val="-3"/>
        </w:rPr>
        <w:t> </w:t>
      </w:r>
      <w:r>
        <w:rPr/>
        <w:t>allow</w:t>
      </w:r>
      <w:r>
        <w:rPr>
          <w:spacing w:val="-2"/>
        </w:rPr>
        <w:t> </w:t>
      </w:r>
      <w:r>
        <w:rPr/>
        <w:t>our programs to respond to the GRADPACT initiative. Thus, it is fair to say that these recommendations</w:t>
      </w:r>
      <w:r>
        <w:rPr>
          <w:spacing w:val="-5"/>
        </w:rPr>
        <w:t> </w:t>
      </w:r>
      <w:r>
        <w:rPr/>
        <w:t>have</w:t>
      </w:r>
      <w:r>
        <w:rPr>
          <w:spacing w:val="-5"/>
        </w:rPr>
        <w:t> </w:t>
      </w:r>
      <w:r>
        <w:rPr/>
        <w:t>been</w:t>
      </w:r>
      <w:r>
        <w:rPr>
          <w:spacing w:val="-4"/>
        </w:rPr>
        <w:t> </w:t>
      </w:r>
      <w:r>
        <w:rPr/>
        <w:t>aired</w:t>
      </w:r>
      <w:r>
        <w:rPr>
          <w:spacing w:val="-2"/>
        </w:rPr>
        <w:t> </w:t>
      </w:r>
      <w:r>
        <w:rPr/>
        <w:t>widely,</w:t>
      </w:r>
      <w:r>
        <w:rPr>
          <w:spacing w:val="-5"/>
        </w:rPr>
        <w:t> </w:t>
      </w:r>
      <w:r>
        <w:rPr/>
        <w:t>and</w:t>
      </w:r>
      <w:r>
        <w:rPr>
          <w:spacing w:val="-2"/>
        </w:rPr>
        <w:t> </w:t>
      </w:r>
      <w:r>
        <w:rPr/>
        <w:t>reflect</w:t>
      </w:r>
      <w:r>
        <w:rPr>
          <w:spacing w:val="-4"/>
        </w:rPr>
        <w:t> </w:t>
      </w:r>
      <w:r>
        <w:rPr/>
        <w:t>a</w:t>
      </w:r>
      <w:r>
        <w:rPr>
          <w:spacing w:val="-5"/>
        </w:rPr>
        <w:t> </w:t>
      </w:r>
      <w:r>
        <w:rPr/>
        <w:t>quite</w:t>
      </w:r>
      <w:r>
        <w:rPr>
          <w:spacing w:val="-2"/>
        </w:rPr>
        <w:t> </w:t>
      </w:r>
      <w:r>
        <w:rPr/>
        <w:t>strong</w:t>
      </w:r>
      <w:r>
        <w:rPr>
          <w:spacing w:val="-5"/>
        </w:rPr>
        <w:t> </w:t>
      </w:r>
      <w:r>
        <w:rPr/>
        <w:t>consensus</w:t>
      </w:r>
      <w:r>
        <w:rPr>
          <w:spacing w:val="-3"/>
        </w:rPr>
        <w:t> </w:t>
      </w:r>
      <w:r>
        <w:rPr/>
        <w:t>about</w:t>
      </w:r>
      <w:r>
        <w:rPr>
          <w:spacing w:val="-2"/>
        </w:rPr>
        <w:t> </w:t>
      </w:r>
      <w:r>
        <w:rPr/>
        <w:t>what short term recommendations should be forwarded in conjunction with this initiative.</w:t>
      </w:r>
    </w:p>
    <w:p>
      <w:pPr>
        <w:pStyle w:val="BodyText"/>
        <w:spacing w:before="1"/>
      </w:pPr>
    </w:p>
    <w:p>
      <w:pPr>
        <w:pStyle w:val="BodyText"/>
        <w:ind w:left="300" w:right="100"/>
      </w:pPr>
      <w:r>
        <w:rPr/>
        <w:t>The</w:t>
      </w:r>
      <w:r>
        <w:rPr>
          <w:spacing w:val="-3"/>
        </w:rPr>
        <w:t> </w:t>
      </w:r>
      <w:r>
        <w:rPr/>
        <w:t>recommendations</w:t>
      </w:r>
      <w:r>
        <w:rPr>
          <w:spacing w:val="-5"/>
        </w:rPr>
        <w:t> </w:t>
      </w:r>
      <w:r>
        <w:rPr/>
        <w:t>included</w:t>
      </w:r>
      <w:r>
        <w:rPr>
          <w:spacing w:val="-5"/>
        </w:rPr>
        <w:t> </w:t>
      </w:r>
      <w:r>
        <w:rPr/>
        <w:t>below</w:t>
      </w:r>
      <w:r>
        <w:rPr>
          <w:spacing w:val="-4"/>
        </w:rPr>
        <w:t> </w:t>
      </w:r>
      <w:r>
        <w:rPr/>
        <w:t>were</w:t>
      </w:r>
      <w:r>
        <w:rPr>
          <w:spacing w:val="-3"/>
        </w:rPr>
        <w:t> </w:t>
      </w:r>
      <w:r>
        <w:rPr/>
        <w:t>approved</w:t>
      </w:r>
      <w:r>
        <w:rPr>
          <w:spacing w:val="-5"/>
        </w:rPr>
        <w:t> </w:t>
      </w:r>
      <w:r>
        <w:rPr/>
        <w:t>by</w:t>
      </w:r>
      <w:r>
        <w:rPr>
          <w:spacing w:val="-4"/>
        </w:rPr>
        <w:t> </w:t>
      </w:r>
      <w:r>
        <w:rPr/>
        <w:t>unanimous</w:t>
      </w:r>
      <w:r>
        <w:rPr>
          <w:spacing w:val="-4"/>
        </w:rPr>
        <w:t> </w:t>
      </w:r>
      <w:r>
        <w:rPr/>
        <w:t>vote</w:t>
      </w:r>
      <w:r>
        <w:rPr>
          <w:spacing w:val="-7"/>
        </w:rPr>
        <w:t> </w:t>
      </w:r>
      <w:r>
        <w:rPr/>
        <w:t>of</w:t>
      </w:r>
      <w:r>
        <w:rPr>
          <w:spacing w:val="-4"/>
        </w:rPr>
        <w:t> </w:t>
      </w:r>
      <w:r>
        <w:rPr/>
        <w:t>the</w:t>
      </w:r>
      <w:r>
        <w:rPr>
          <w:spacing w:val="-5"/>
        </w:rPr>
        <w:t> </w:t>
      </w:r>
      <w:r>
        <w:rPr/>
        <w:t>Teacher Education Council at their meeting of April 12, 1995.</w:t>
      </w:r>
    </w:p>
    <w:p>
      <w:pPr>
        <w:pStyle w:val="BodyText"/>
      </w:pPr>
    </w:p>
    <w:p>
      <w:pPr>
        <w:pStyle w:val="BodyText"/>
        <w:ind w:left="300" w:right="195"/>
      </w:pPr>
      <w:r>
        <w:rPr/>
        <w:t>However, it must be emphasized that virtually every member of the teacher education community</w:t>
      </w:r>
      <w:r>
        <w:rPr>
          <w:spacing w:val="-3"/>
        </w:rPr>
        <w:t> </w:t>
      </w:r>
      <w:r>
        <w:rPr/>
        <w:t>would</w:t>
      </w:r>
      <w:r>
        <w:rPr>
          <w:spacing w:val="-2"/>
        </w:rPr>
        <w:t> </w:t>
      </w:r>
      <w:r>
        <w:rPr/>
        <w:t>prefer</w:t>
      </w:r>
      <w:r>
        <w:rPr>
          <w:spacing w:val="-5"/>
        </w:rPr>
        <w:t> </w:t>
      </w:r>
      <w:r>
        <w:rPr/>
        <w:t>not</w:t>
      </w:r>
      <w:r>
        <w:rPr>
          <w:spacing w:val="-4"/>
        </w:rPr>
        <w:t> </w:t>
      </w:r>
      <w:r>
        <w:rPr/>
        <w:t>to</w:t>
      </w:r>
      <w:r>
        <w:rPr>
          <w:spacing w:val="-2"/>
        </w:rPr>
        <w:t> </w:t>
      </w:r>
      <w:r>
        <w:rPr/>
        <w:t>make</w:t>
      </w:r>
      <w:r>
        <w:rPr>
          <w:spacing w:val="-5"/>
        </w:rPr>
        <w:t> </w:t>
      </w:r>
      <w:r>
        <w:rPr/>
        <w:t>these</w:t>
      </w:r>
      <w:r>
        <w:rPr>
          <w:spacing w:val="-2"/>
        </w:rPr>
        <w:t> </w:t>
      </w:r>
      <w:r>
        <w:rPr/>
        <w:t>short</w:t>
      </w:r>
      <w:r>
        <w:rPr>
          <w:spacing w:val="-6"/>
        </w:rPr>
        <w:t> </w:t>
      </w:r>
      <w:r>
        <w:rPr/>
        <w:t>term</w:t>
      </w:r>
      <w:r>
        <w:rPr>
          <w:spacing w:val="-3"/>
        </w:rPr>
        <w:t> </w:t>
      </w:r>
      <w:r>
        <w:rPr/>
        <w:t>changes.</w:t>
      </w:r>
      <w:r>
        <w:rPr>
          <w:spacing w:val="-4"/>
        </w:rPr>
        <w:t> </w:t>
      </w:r>
      <w:r>
        <w:rPr/>
        <w:t>While</w:t>
      </w:r>
      <w:r>
        <w:rPr>
          <w:spacing w:val="-5"/>
        </w:rPr>
        <w:t> </w:t>
      </w:r>
      <w:r>
        <w:rPr/>
        <w:t>GRADPACT</w:t>
      </w:r>
      <w:r>
        <w:rPr>
          <w:spacing w:val="-4"/>
        </w:rPr>
        <w:t> </w:t>
      </w:r>
      <w:r>
        <w:rPr/>
        <w:t>did</w:t>
      </w:r>
      <w:r>
        <w:rPr>
          <w:spacing w:val="-4"/>
        </w:rPr>
        <w:t> </w:t>
      </w:r>
      <w:r>
        <w:rPr/>
        <w:t>provide an incentive to continue our efforts at reform, the particular changes recommended here represent only the beginning of what will be undertaken to make sure our programs provide the best possible context in which to prepare public school teachers. The process of coming together to discuss options, share ideas and perceptions, discuss current offerings, etc., was important and productive. Yet no one has been enthusiastic about the need to change rather complex programs so quickly, especially given the general review of teacher education that is underway, and the likelihood that additional, more comprehensive recommendations for change will be forthcoming in the not too distant future (i.e., probably within the next two years). Therefore, these recommendations must be seen as provisional, created by external constraints that are, in important respects, at odds with the schedule of events within the School of Education. They are presented as stopgap measures only, almost surely to be superseded or amended by the processes of change that are continuing.</w:t>
      </w:r>
    </w:p>
    <w:p>
      <w:pPr>
        <w:spacing w:after="0"/>
        <w:sectPr>
          <w:headerReference w:type="default" r:id="rId5"/>
          <w:footerReference w:type="default" r:id="rId6"/>
          <w:type w:val="continuous"/>
          <w:pgSz w:w="12240" w:h="15840"/>
          <w:pgMar w:header="724" w:footer="1020" w:top="1380" w:bottom="1220" w:left="1140" w:right="1360"/>
          <w:pgNumType w:start="1"/>
        </w:sectPr>
      </w:pPr>
    </w:p>
    <w:p>
      <w:pPr>
        <w:pStyle w:val="BodyText"/>
        <w:spacing w:before="2"/>
        <w:rPr>
          <w:sz w:val="23"/>
        </w:rPr>
      </w:pPr>
    </w:p>
    <w:p>
      <w:pPr>
        <w:pStyle w:val="ListParagraph"/>
        <w:numPr>
          <w:ilvl w:val="0"/>
          <w:numId w:val="1"/>
        </w:numPr>
        <w:tabs>
          <w:tab w:pos="660" w:val="left" w:leader="none"/>
        </w:tabs>
        <w:spacing w:line="240" w:lineRule="auto" w:before="52" w:after="0"/>
        <w:ind w:left="660" w:right="0" w:hanging="480"/>
        <w:jc w:val="left"/>
        <w:rPr>
          <w:sz w:val="24"/>
        </w:rPr>
      </w:pPr>
      <w:r>
        <w:rPr>
          <w:sz w:val="24"/>
        </w:rPr>
        <w:t>Art </w:t>
      </w:r>
      <w:r>
        <w:rPr>
          <w:spacing w:val="-2"/>
          <w:sz w:val="24"/>
        </w:rPr>
        <w:t>Education</w:t>
      </w:r>
    </w:p>
    <w:p>
      <w:pPr>
        <w:pStyle w:val="BodyText"/>
        <w:spacing w:before="11"/>
        <w:rPr>
          <w:sz w:val="23"/>
        </w:rPr>
      </w:pPr>
    </w:p>
    <w:p>
      <w:pPr>
        <w:pStyle w:val="BodyText"/>
        <w:ind w:left="300" w:right="100"/>
      </w:pPr>
      <w:r>
        <w:rPr/>
        <w:t>It</w:t>
      </w:r>
      <w:r>
        <w:rPr>
          <w:spacing w:val="-2"/>
        </w:rPr>
        <w:t> </w:t>
      </w:r>
      <w:r>
        <w:rPr/>
        <w:t>is</w:t>
      </w:r>
      <w:r>
        <w:rPr>
          <w:spacing w:val="-3"/>
        </w:rPr>
        <w:t> </w:t>
      </w:r>
      <w:r>
        <w:rPr/>
        <w:t>recommended</w:t>
      </w:r>
      <w:r>
        <w:rPr>
          <w:spacing w:val="-3"/>
        </w:rPr>
        <w:t> </w:t>
      </w:r>
      <w:r>
        <w:rPr/>
        <w:t>that</w:t>
      </w:r>
      <w:r>
        <w:rPr>
          <w:spacing w:val="-3"/>
        </w:rPr>
        <w:t> </w:t>
      </w:r>
      <w:r>
        <w:rPr/>
        <w:t>the</w:t>
      </w:r>
      <w:r>
        <w:rPr>
          <w:spacing w:val="-2"/>
        </w:rPr>
        <w:t> </w:t>
      </w:r>
      <w:r>
        <w:rPr/>
        <w:t>Secondary</w:t>
      </w:r>
      <w:r>
        <w:rPr>
          <w:spacing w:val="-4"/>
        </w:rPr>
        <w:t> </w:t>
      </w:r>
      <w:r>
        <w:rPr/>
        <w:t>Visual</w:t>
      </w:r>
      <w:r>
        <w:rPr>
          <w:spacing w:val="-4"/>
        </w:rPr>
        <w:t> </w:t>
      </w:r>
      <w:r>
        <w:rPr/>
        <w:t>Arts</w:t>
      </w:r>
      <w:r>
        <w:rPr>
          <w:spacing w:val="-3"/>
        </w:rPr>
        <w:t> </w:t>
      </w:r>
      <w:r>
        <w:rPr/>
        <w:t>Program</w:t>
      </w:r>
      <w:r>
        <w:rPr>
          <w:spacing w:val="-4"/>
        </w:rPr>
        <w:t> </w:t>
      </w:r>
      <w:r>
        <w:rPr/>
        <w:t>be</w:t>
      </w:r>
      <w:r>
        <w:rPr>
          <w:spacing w:val="-4"/>
        </w:rPr>
        <w:t> </w:t>
      </w:r>
      <w:r>
        <w:rPr/>
        <w:t>deleted</w:t>
      </w:r>
      <w:r>
        <w:rPr>
          <w:spacing w:val="-3"/>
        </w:rPr>
        <w:t> </w:t>
      </w:r>
      <w:r>
        <w:rPr/>
        <w:t>from</w:t>
      </w:r>
      <w:r>
        <w:rPr>
          <w:spacing w:val="-3"/>
        </w:rPr>
        <w:t> </w:t>
      </w:r>
      <w:r>
        <w:rPr/>
        <w:t>our</w:t>
      </w:r>
      <w:r>
        <w:rPr>
          <w:spacing w:val="-4"/>
        </w:rPr>
        <w:t> </w:t>
      </w:r>
      <w:r>
        <w:rPr/>
        <w:t>offerings.</w:t>
      </w:r>
      <w:r>
        <w:rPr>
          <w:spacing w:val="-3"/>
        </w:rPr>
        <w:t> </w:t>
      </w:r>
      <w:r>
        <w:rPr/>
        <w:t>There are two interrelated reasons for this recommendation. First, employment opportunities for graduates of the secondary art program are very limited, given the preferences of school districts for K-12 teachers. Second, this option has not been selected by any student during the last five years.</w:t>
      </w:r>
      <w:r>
        <w:rPr>
          <w:spacing w:val="40"/>
        </w:rPr>
        <w:t> </w:t>
      </w:r>
      <w:r>
        <w:rPr/>
        <w:t>Moreover, it is worth noting that the all-grades program requires only four additional courses beyond those required for the secondary program.</w:t>
      </w:r>
    </w:p>
    <w:p>
      <w:pPr>
        <w:pStyle w:val="BodyText"/>
        <w:spacing w:before="2"/>
      </w:pPr>
    </w:p>
    <w:p>
      <w:pPr>
        <w:pStyle w:val="ListParagraph"/>
        <w:numPr>
          <w:ilvl w:val="0"/>
          <w:numId w:val="1"/>
        </w:numPr>
        <w:tabs>
          <w:tab w:pos="660" w:val="left" w:leader="none"/>
        </w:tabs>
        <w:spacing w:line="240" w:lineRule="auto" w:before="0" w:after="0"/>
        <w:ind w:left="660" w:right="0" w:hanging="543"/>
        <w:jc w:val="left"/>
        <w:rPr>
          <w:sz w:val="24"/>
        </w:rPr>
      </w:pPr>
      <w:r>
        <w:rPr>
          <w:sz w:val="24"/>
        </w:rPr>
        <w:t>Special </w:t>
      </w:r>
      <w:r>
        <w:rPr>
          <w:spacing w:val="-2"/>
          <w:sz w:val="24"/>
        </w:rPr>
        <w:t>Education</w:t>
      </w:r>
    </w:p>
    <w:p>
      <w:pPr>
        <w:pStyle w:val="BodyText"/>
        <w:spacing w:before="11"/>
        <w:rPr>
          <w:sz w:val="23"/>
        </w:rPr>
      </w:pPr>
    </w:p>
    <w:p>
      <w:pPr>
        <w:pStyle w:val="BodyText"/>
        <w:spacing w:before="1"/>
        <w:ind w:left="300" w:right="100"/>
      </w:pPr>
      <w:r>
        <w:rPr/>
        <w:t>The</w:t>
      </w:r>
      <w:r>
        <w:rPr>
          <w:spacing w:val="-2"/>
        </w:rPr>
        <w:t> </w:t>
      </w:r>
      <w:r>
        <w:rPr/>
        <w:t>current</w:t>
      </w:r>
      <w:r>
        <w:rPr>
          <w:spacing w:val="-2"/>
        </w:rPr>
        <w:t> </w:t>
      </w:r>
      <w:r>
        <w:rPr/>
        <w:t>all-grade</w:t>
      </w:r>
      <w:r>
        <w:rPr>
          <w:spacing w:val="-4"/>
        </w:rPr>
        <w:t> </w:t>
      </w:r>
      <w:r>
        <w:rPr/>
        <w:t>program</w:t>
      </w:r>
      <w:r>
        <w:rPr>
          <w:spacing w:val="-2"/>
        </w:rPr>
        <w:t> </w:t>
      </w:r>
      <w:r>
        <w:rPr/>
        <w:t>in</w:t>
      </w:r>
      <w:r>
        <w:rPr>
          <w:spacing w:val="-4"/>
        </w:rPr>
        <w:t> </w:t>
      </w:r>
      <w:r>
        <w:rPr/>
        <w:t>special</w:t>
      </w:r>
      <w:r>
        <w:rPr>
          <w:spacing w:val="-5"/>
        </w:rPr>
        <w:t> </w:t>
      </w:r>
      <w:r>
        <w:rPr/>
        <w:t>education</w:t>
      </w:r>
      <w:r>
        <w:rPr>
          <w:spacing w:val="-2"/>
        </w:rPr>
        <w:t> </w:t>
      </w:r>
      <w:r>
        <w:rPr/>
        <w:t>includes</w:t>
      </w:r>
      <w:r>
        <w:rPr>
          <w:spacing w:val="-5"/>
        </w:rPr>
        <w:t> </w:t>
      </w:r>
      <w:r>
        <w:rPr/>
        <w:t>a</w:t>
      </w:r>
      <w:r>
        <w:rPr>
          <w:spacing w:val="-5"/>
        </w:rPr>
        <w:t> </w:t>
      </w:r>
      <w:r>
        <w:rPr/>
        <w:t>total</w:t>
      </w:r>
      <w:r>
        <w:rPr>
          <w:spacing w:val="-5"/>
        </w:rPr>
        <w:t> </w:t>
      </w:r>
      <w:r>
        <w:rPr/>
        <w:t>of</w:t>
      </w:r>
      <w:r>
        <w:rPr>
          <w:spacing w:val="-2"/>
        </w:rPr>
        <w:t> </w:t>
      </w:r>
      <w:r>
        <w:rPr/>
        <w:t>129</w:t>
      </w:r>
      <w:r>
        <w:rPr>
          <w:spacing w:val="-4"/>
        </w:rPr>
        <w:t> </w:t>
      </w:r>
      <w:r>
        <w:rPr/>
        <w:t>credit</w:t>
      </w:r>
      <w:r>
        <w:rPr>
          <w:spacing w:val="-4"/>
        </w:rPr>
        <w:t> </w:t>
      </w:r>
      <w:r>
        <w:rPr/>
        <w:t>hours.</w:t>
      </w:r>
      <w:r>
        <w:rPr>
          <w:spacing w:val="-4"/>
        </w:rPr>
        <w:t> </w:t>
      </w:r>
      <w:r>
        <w:rPr/>
        <w:t>To comply with the GRADPACT initiative, it is recommended that:</w:t>
      </w:r>
    </w:p>
    <w:p>
      <w:pPr>
        <w:pStyle w:val="BodyText"/>
        <w:spacing w:before="12"/>
        <w:rPr>
          <w:sz w:val="23"/>
        </w:rPr>
      </w:pPr>
    </w:p>
    <w:p>
      <w:pPr>
        <w:pStyle w:val="ListParagraph"/>
        <w:numPr>
          <w:ilvl w:val="1"/>
          <w:numId w:val="1"/>
        </w:numPr>
        <w:tabs>
          <w:tab w:pos="1020" w:val="left" w:leader="none"/>
        </w:tabs>
        <w:spacing w:line="240" w:lineRule="auto" w:before="0" w:after="0"/>
        <w:ind w:left="1020" w:right="414" w:hanging="360"/>
        <w:jc w:val="left"/>
        <w:rPr>
          <w:sz w:val="24"/>
        </w:rPr>
      </w:pPr>
      <w:r>
        <w:rPr>
          <w:sz w:val="24"/>
        </w:rPr>
        <w:t>the</w:t>
      </w:r>
      <w:r>
        <w:rPr>
          <w:spacing w:val="-6"/>
          <w:sz w:val="24"/>
        </w:rPr>
        <w:t> </w:t>
      </w:r>
      <w:r>
        <w:rPr>
          <w:sz w:val="24"/>
        </w:rPr>
        <w:t>current</w:t>
      </w:r>
      <w:r>
        <w:rPr>
          <w:spacing w:val="-5"/>
          <w:sz w:val="24"/>
        </w:rPr>
        <w:t> </w:t>
      </w:r>
      <w:r>
        <w:rPr>
          <w:sz w:val="24"/>
        </w:rPr>
        <w:t>requirement</w:t>
      </w:r>
      <w:r>
        <w:rPr>
          <w:spacing w:val="-5"/>
          <w:sz w:val="24"/>
        </w:rPr>
        <w:t> </w:t>
      </w:r>
      <w:r>
        <w:rPr>
          <w:sz w:val="24"/>
        </w:rPr>
        <w:t>for</w:t>
      </w:r>
      <w:r>
        <w:rPr>
          <w:spacing w:val="-3"/>
          <w:sz w:val="24"/>
        </w:rPr>
        <w:t> </w:t>
      </w:r>
      <w:r>
        <w:rPr>
          <w:sz w:val="24"/>
        </w:rPr>
        <w:t>an</w:t>
      </w:r>
      <w:r>
        <w:rPr>
          <w:spacing w:val="-3"/>
          <w:sz w:val="24"/>
        </w:rPr>
        <w:t> </w:t>
      </w:r>
      <w:r>
        <w:rPr>
          <w:sz w:val="24"/>
        </w:rPr>
        <w:t>area</w:t>
      </w:r>
      <w:r>
        <w:rPr>
          <w:spacing w:val="-3"/>
          <w:sz w:val="24"/>
        </w:rPr>
        <w:t> </w:t>
      </w:r>
      <w:r>
        <w:rPr>
          <w:sz w:val="24"/>
        </w:rPr>
        <w:t>of</w:t>
      </w:r>
      <w:r>
        <w:rPr>
          <w:spacing w:val="-3"/>
          <w:sz w:val="24"/>
        </w:rPr>
        <w:t> </w:t>
      </w:r>
      <w:r>
        <w:rPr>
          <w:sz w:val="24"/>
        </w:rPr>
        <w:t>concentration</w:t>
      </w:r>
      <w:r>
        <w:rPr>
          <w:spacing w:val="-2"/>
          <w:sz w:val="24"/>
        </w:rPr>
        <w:t> </w:t>
      </w:r>
      <w:r>
        <w:rPr>
          <w:sz w:val="24"/>
        </w:rPr>
        <w:t>in</w:t>
      </w:r>
      <w:r>
        <w:rPr>
          <w:spacing w:val="-3"/>
          <w:sz w:val="24"/>
        </w:rPr>
        <w:t> </w:t>
      </w:r>
      <w:r>
        <w:rPr>
          <w:sz w:val="24"/>
        </w:rPr>
        <w:t>courses</w:t>
      </w:r>
      <w:r>
        <w:rPr>
          <w:spacing w:val="-5"/>
          <w:sz w:val="24"/>
        </w:rPr>
        <w:t> </w:t>
      </w:r>
      <w:r>
        <w:rPr>
          <w:sz w:val="24"/>
        </w:rPr>
        <w:t>in</w:t>
      </w:r>
      <w:r>
        <w:rPr>
          <w:spacing w:val="-3"/>
          <w:sz w:val="24"/>
        </w:rPr>
        <w:t> </w:t>
      </w:r>
      <w:r>
        <w:rPr>
          <w:sz w:val="24"/>
        </w:rPr>
        <w:t>the</w:t>
      </w:r>
      <w:r>
        <w:rPr>
          <w:spacing w:val="-6"/>
          <w:sz w:val="24"/>
        </w:rPr>
        <w:t> </w:t>
      </w:r>
      <w:r>
        <w:rPr>
          <w:sz w:val="24"/>
        </w:rPr>
        <w:t>College</w:t>
      </w:r>
      <w:r>
        <w:rPr>
          <w:spacing w:val="-3"/>
          <w:sz w:val="24"/>
        </w:rPr>
        <w:t> </w:t>
      </w:r>
      <w:r>
        <w:rPr>
          <w:sz w:val="24"/>
        </w:rPr>
        <w:t>of</w:t>
      </w:r>
      <w:r>
        <w:rPr>
          <w:spacing w:val="-3"/>
          <w:sz w:val="24"/>
        </w:rPr>
        <w:t> </w:t>
      </w:r>
      <w:r>
        <w:rPr>
          <w:sz w:val="24"/>
        </w:rPr>
        <w:t>Arts and Sciences, totaling 18-20 credit hours, be eliminated.</w:t>
      </w:r>
    </w:p>
    <w:p>
      <w:pPr>
        <w:pStyle w:val="BodyText"/>
        <w:spacing w:before="11"/>
        <w:rPr>
          <w:sz w:val="23"/>
        </w:rPr>
      </w:pPr>
    </w:p>
    <w:p>
      <w:pPr>
        <w:pStyle w:val="ListParagraph"/>
        <w:numPr>
          <w:ilvl w:val="1"/>
          <w:numId w:val="1"/>
        </w:numPr>
        <w:tabs>
          <w:tab w:pos="1020" w:val="left" w:leader="none"/>
        </w:tabs>
        <w:spacing w:line="240" w:lineRule="auto" w:before="1" w:after="0"/>
        <w:ind w:left="1020" w:right="376" w:hanging="360"/>
        <w:jc w:val="left"/>
        <w:rPr>
          <w:sz w:val="24"/>
        </w:rPr>
      </w:pPr>
      <w:r>
        <w:rPr>
          <w:sz w:val="24"/>
        </w:rPr>
        <w:t>students</w:t>
      </w:r>
      <w:r>
        <w:rPr>
          <w:spacing w:val="-5"/>
          <w:sz w:val="24"/>
        </w:rPr>
        <w:t> </w:t>
      </w:r>
      <w:r>
        <w:rPr>
          <w:sz w:val="24"/>
        </w:rPr>
        <w:t>be</w:t>
      </w:r>
      <w:r>
        <w:rPr>
          <w:spacing w:val="-5"/>
          <w:sz w:val="24"/>
        </w:rPr>
        <w:t> </w:t>
      </w:r>
      <w:r>
        <w:rPr>
          <w:sz w:val="24"/>
        </w:rPr>
        <w:t>required</w:t>
      </w:r>
      <w:r>
        <w:rPr>
          <w:spacing w:val="-4"/>
          <w:sz w:val="24"/>
        </w:rPr>
        <w:t> </w:t>
      </w:r>
      <w:r>
        <w:rPr>
          <w:sz w:val="24"/>
        </w:rPr>
        <w:t>to</w:t>
      </w:r>
      <w:r>
        <w:rPr>
          <w:spacing w:val="-7"/>
          <w:sz w:val="24"/>
        </w:rPr>
        <w:t> </w:t>
      </w:r>
      <w:r>
        <w:rPr>
          <w:sz w:val="24"/>
        </w:rPr>
        <w:t>complete</w:t>
      </w:r>
      <w:r>
        <w:rPr>
          <w:spacing w:val="-3"/>
          <w:sz w:val="24"/>
        </w:rPr>
        <w:t> </w:t>
      </w:r>
      <w:r>
        <w:rPr>
          <w:sz w:val="24"/>
        </w:rPr>
        <w:t>13</w:t>
      </w:r>
      <w:r>
        <w:rPr>
          <w:spacing w:val="-2"/>
          <w:sz w:val="24"/>
        </w:rPr>
        <w:t> </w:t>
      </w:r>
      <w:r>
        <w:rPr>
          <w:sz w:val="24"/>
        </w:rPr>
        <w:t>credit</w:t>
      </w:r>
      <w:r>
        <w:rPr>
          <w:spacing w:val="-4"/>
          <w:sz w:val="24"/>
        </w:rPr>
        <w:t> </w:t>
      </w:r>
      <w:r>
        <w:rPr>
          <w:sz w:val="24"/>
        </w:rPr>
        <w:t>hours</w:t>
      </w:r>
      <w:r>
        <w:rPr>
          <w:spacing w:val="-5"/>
          <w:sz w:val="24"/>
        </w:rPr>
        <w:t> </w:t>
      </w:r>
      <w:r>
        <w:rPr>
          <w:sz w:val="24"/>
        </w:rPr>
        <w:t>of</w:t>
      </w:r>
      <w:r>
        <w:rPr>
          <w:spacing w:val="-4"/>
          <w:sz w:val="24"/>
        </w:rPr>
        <w:t> </w:t>
      </w:r>
      <w:r>
        <w:rPr>
          <w:sz w:val="24"/>
        </w:rPr>
        <w:t>electives</w:t>
      </w:r>
      <w:r>
        <w:rPr>
          <w:spacing w:val="-5"/>
          <w:sz w:val="24"/>
        </w:rPr>
        <w:t> </w:t>
      </w:r>
      <w:r>
        <w:rPr>
          <w:sz w:val="24"/>
        </w:rPr>
        <w:t>from</w:t>
      </w:r>
      <w:r>
        <w:rPr>
          <w:spacing w:val="-4"/>
          <w:sz w:val="24"/>
        </w:rPr>
        <w:t> </w:t>
      </w:r>
      <w:r>
        <w:rPr>
          <w:sz w:val="24"/>
        </w:rPr>
        <w:t>the</w:t>
      </w:r>
      <w:r>
        <w:rPr>
          <w:spacing w:val="-5"/>
          <w:sz w:val="24"/>
        </w:rPr>
        <w:t> </w:t>
      </w:r>
      <w:r>
        <w:rPr>
          <w:sz w:val="24"/>
        </w:rPr>
        <w:t>College</w:t>
      </w:r>
      <w:r>
        <w:rPr>
          <w:spacing w:val="-2"/>
          <w:sz w:val="24"/>
        </w:rPr>
        <w:t> </w:t>
      </w:r>
      <w:r>
        <w:rPr>
          <w:sz w:val="24"/>
        </w:rPr>
        <w:t>of</w:t>
      </w:r>
      <w:r>
        <w:rPr>
          <w:spacing w:val="-2"/>
          <w:sz w:val="24"/>
        </w:rPr>
        <w:t> </w:t>
      </w:r>
      <w:r>
        <w:rPr>
          <w:sz w:val="24"/>
        </w:rPr>
        <w:t>Arts and Sciences or any of the other units of the University, including the School of </w:t>
      </w:r>
      <w:r>
        <w:rPr>
          <w:spacing w:val="-2"/>
          <w:sz w:val="24"/>
        </w:rPr>
        <w:t>Education.</w:t>
      </w:r>
    </w:p>
    <w:p>
      <w:pPr>
        <w:pStyle w:val="BodyText"/>
        <w:spacing w:before="1"/>
      </w:pPr>
    </w:p>
    <w:p>
      <w:pPr>
        <w:pStyle w:val="BodyText"/>
        <w:ind w:left="660" w:right="195"/>
      </w:pPr>
      <w:r>
        <w:rPr/>
        <w:t>These</w:t>
      </w:r>
      <w:r>
        <w:rPr>
          <w:spacing w:val="-2"/>
        </w:rPr>
        <w:t> </w:t>
      </w:r>
      <w:r>
        <w:rPr/>
        <w:t>changes</w:t>
      </w:r>
      <w:r>
        <w:rPr>
          <w:spacing w:val="-5"/>
        </w:rPr>
        <w:t> </w:t>
      </w:r>
      <w:r>
        <w:rPr/>
        <w:t>would</w:t>
      </w:r>
      <w:r>
        <w:rPr>
          <w:spacing w:val="-4"/>
        </w:rPr>
        <w:t> </w:t>
      </w:r>
      <w:r>
        <w:rPr/>
        <w:t>mean</w:t>
      </w:r>
      <w:r>
        <w:rPr>
          <w:spacing w:val="-2"/>
        </w:rPr>
        <w:t> </w:t>
      </w:r>
      <w:r>
        <w:rPr/>
        <w:t>that</w:t>
      </w:r>
      <w:r>
        <w:rPr>
          <w:spacing w:val="-4"/>
        </w:rPr>
        <w:t> </w:t>
      </w:r>
      <w:r>
        <w:rPr/>
        <w:t>the</w:t>
      </w:r>
      <w:r>
        <w:rPr>
          <w:spacing w:val="-4"/>
        </w:rPr>
        <w:t> </w:t>
      </w:r>
      <w:r>
        <w:rPr/>
        <w:t>all-grades</w:t>
      </w:r>
      <w:r>
        <w:rPr>
          <w:spacing w:val="-5"/>
        </w:rPr>
        <w:t> </w:t>
      </w:r>
      <w:r>
        <w:rPr/>
        <w:t>program</w:t>
      </w:r>
      <w:r>
        <w:rPr>
          <w:spacing w:val="-2"/>
        </w:rPr>
        <w:t> </w:t>
      </w:r>
      <w:r>
        <w:rPr/>
        <w:t>in</w:t>
      </w:r>
      <w:r>
        <w:rPr>
          <w:spacing w:val="-4"/>
        </w:rPr>
        <w:t> </w:t>
      </w:r>
      <w:r>
        <w:rPr/>
        <w:t>special</w:t>
      </w:r>
      <w:r>
        <w:rPr>
          <w:spacing w:val="-5"/>
        </w:rPr>
        <w:t> </w:t>
      </w:r>
      <w:r>
        <w:rPr/>
        <w:t>education</w:t>
      </w:r>
      <w:r>
        <w:rPr>
          <w:spacing w:val="-1"/>
        </w:rPr>
        <w:t> </w:t>
      </w:r>
      <w:r>
        <w:rPr/>
        <w:t>would</w:t>
      </w:r>
      <w:r>
        <w:rPr>
          <w:spacing w:val="-4"/>
        </w:rPr>
        <w:t> </w:t>
      </w:r>
      <w:r>
        <w:rPr/>
        <w:t>total 124 credit hours, distributed as follows:</w:t>
      </w:r>
    </w:p>
    <w:p>
      <w:pPr>
        <w:pStyle w:val="BodyText"/>
      </w:pPr>
    </w:p>
    <w:p>
      <w:pPr>
        <w:pStyle w:val="ListParagraph"/>
        <w:numPr>
          <w:ilvl w:val="0"/>
          <w:numId w:val="2"/>
        </w:numPr>
        <w:tabs>
          <w:tab w:pos="1019" w:val="left" w:leader="none"/>
        </w:tabs>
        <w:spacing w:line="240" w:lineRule="auto" w:before="0" w:after="0"/>
        <w:ind w:left="1019" w:right="0" w:hanging="359"/>
        <w:jc w:val="left"/>
        <w:rPr>
          <w:sz w:val="24"/>
        </w:rPr>
      </w:pPr>
      <w:r>
        <w:rPr>
          <w:sz w:val="24"/>
        </w:rPr>
        <w:t>63</w:t>
      </w:r>
      <w:r>
        <w:rPr>
          <w:spacing w:val="-3"/>
          <w:sz w:val="24"/>
        </w:rPr>
        <w:t> </w:t>
      </w:r>
      <w:r>
        <w:rPr>
          <w:sz w:val="24"/>
        </w:rPr>
        <w:t>credit</w:t>
      </w:r>
      <w:r>
        <w:rPr>
          <w:spacing w:val="-5"/>
          <w:sz w:val="24"/>
        </w:rPr>
        <w:t> </w:t>
      </w:r>
      <w:r>
        <w:rPr>
          <w:sz w:val="24"/>
        </w:rPr>
        <w:t>hours</w:t>
      </w:r>
      <w:r>
        <w:rPr>
          <w:spacing w:val="-3"/>
          <w:sz w:val="24"/>
        </w:rPr>
        <w:t> </w:t>
      </w:r>
      <w:r>
        <w:rPr>
          <w:sz w:val="24"/>
        </w:rPr>
        <w:t>in</w:t>
      </w:r>
      <w:r>
        <w:rPr>
          <w:spacing w:val="-3"/>
          <w:sz w:val="24"/>
        </w:rPr>
        <w:t> </w:t>
      </w:r>
      <w:r>
        <w:rPr>
          <w:sz w:val="24"/>
        </w:rPr>
        <w:t>professional</w:t>
      </w:r>
      <w:r>
        <w:rPr>
          <w:spacing w:val="2"/>
          <w:sz w:val="24"/>
        </w:rPr>
        <w:t> </w:t>
      </w:r>
      <w:r>
        <w:rPr>
          <w:spacing w:val="-2"/>
          <w:sz w:val="24"/>
        </w:rPr>
        <w:t>education.</w:t>
      </w:r>
    </w:p>
    <w:p>
      <w:pPr>
        <w:pStyle w:val="ListParagraph"/>
        <w:numPr>
          <w:ilvl w:val="0"/>
          <w:numId w:val="2"/>
        </w:numPr>
        <w:tabs>
          <w:tab w:pos="1020" w:val="left" w:leader="none"/>
        </w:tabs>
        <w:spacing w:line="240" w:lineRule="auto" w:before="0" w:after="0"/>
        <w:ind w:left="1020" w:right="165" w:hanging="360"/>
        <w:jc w:val="left"/>
        <w:rPr>
          <w:sz w:val="24"/>
        </w:rPr>
      </w:pPr>
      <w:r>
        <w:rPr>
          <w:sz w:val="24"/>
        </w:rPr>
        <w:t>48</w:t>
      </w:r>
      <w:r>
        <w:rPr>
          <w:spacing w:val="-2"/>
          <w:sz w:val="24"/>
        </w:rPr>
        <w:t> </w:t>
      </w:r>
      <w:r>
        <w:rPr>
          <w:sz w:val="24"/>
        </w:rPr>
        <w:t>credit</w:t>
      </w:r>
      <w:r>
        <w:rPr>
          <w:spacing w:val="-4"/>
          <w:sz w:val="24"/>
        </w:rPr>
        <w:t> </w:t>
      </w:r>
      <w:r>
        <w:rPr>
          <w:sz w:val="24"/>
        </w:rPr>
        <w:t>hours</w:t>
      </w:r>
      <w:r>
        <w:rPr>
          <w:spacing w:val="-3"/>
          <w:sz w:val="24"/>
        </w:rPr>
        <w:t> </w:t>
      </w:r>
      <w:r>
        <w:rPr>
          <w:sz w:val="24"/>
        </w:rPr>
        <w:t>in</w:t>
      </w:r>
      <w:r>
        <w:rPr>
          <w:spacing w:val="-2"/>
          <w:sz w:val="24"/>
        </w:rPr>
        <w:t> </w:t>
      </w:r>
      <w:r>
        <w:rPr>
          <w:sz w:val="24"/>
        </w:rPr>
        <w:t>general</w:t>
      </w:r>
      <w:r>
        <w:rPr>
          <w:spacing w:val="-3"/>
          <w:sz w:val="24"/>
        </w:rPr>
        <w:t> </w:t>
      </w:r>
      <w:r>
        <w:rPr>
          <w:sz w:val="24"/>
        </w:rPr>
        <w:t>education/College</w:t>
      </w:r>
      <w:r>
        <w:rPr>
          <w:spacing w:val="-5"/>
          <w:sz w:val="24"/>
        </w:rPr>
        <w:t> </w:t>
      </w:r>
      <w:r>
        <w:rPr>
          <w:sz w:val="24"/>
        </w:rPr>
        <w:t>of</w:t>
      </w:r>
      <w:r>
        <w:rPr>
          <w:spacing w:val="-2"/>
          <w:sz w:val="24"/>
        </w:rPr>
        <w:t> </w:t>
      </w:r>
      <w:r>
        <w:rPr>
          <w:sz w:val="24"/>
        </w:rPr>
        <w:t>Arts</w:t>
      </w:r>
      <w:r>
        <w:rPr>
          <w:spacing w:val="-3"/>
          <w:sz w:val="24"/>
        </w:rPr>
        <w:t> </w:t>
      </w:r>
      <w:r>
        <w:rPr>
          <w:sz w:val="24"/>
        </w:rPr>
        <w:t>and</w:t>
      </w:r>
      <w:r>
        <w:rPr>
          <w:spacing w:val="-2"/>
          <w:sz w:val="24"/>
        </w:rPr>
        <w:t> </w:t>
      </w:r>
      <w:r>
        <w:rPr>
          <w:sz w:val="24"/>
        </w:rPr>
        <w:t>Sciences (15</w:t>
      </w:r>
      <w:r>
        <w:rPr>
          <w:spacing w:val="-4"/>
          <w:sz w:val="24"/>
        </w:rPr>
        <w:t> </w:t>
      </w:r>
      <w:r>
        <w:rPr>
          <w:sz w:val="24"/>
        </w:rPr>
        <w:t>in</w:t>
      </w:r>
      <w:r>
        <w:rPr>
          <w:spacing w:val="-4"/>
          <w:sz w:val="24"/>
        </w:rPr>
        <w:t> </w:t>
      </w:r>
      <w:r>
        <w:rPr>
          <w:sz w:val="24"/>
        </w:rPr>
        <w:t>language</w:t>
      </w:r>
      <w:r>
        <w:rPr>
          <w:spacing w:val="-2"/>
          <w:sz w:val="24"/>
        </w:rPr>
        <w:t> </w:t>
      </w:r>
      <w:r>
        <w:rPr>
          <w:sz w:val="24"/>
        </w:rPr>
        <w:t>arts,</w:t>
      </w:r>
      <w:r>
        <w:rPr>
          <w:spacing w:val="-3"/>
          <w:sz w:val="24"/>
        </w:rPr>
        <w:t> </w:t>
      </w:r>
      <w:r>
        <w:rPr>
          <w:sz w:val="24"/>
        </w:rPr>
        <w:t>5 in fine arts, 7 in math, 12 in natural sciences, and 9 in social studies).</w:t>
      </w:r>
    </w:p>
    <w:p>
      <w:pPr>
        <w:pStyle w:val="ListParagraph"/>
        <w:numPr>
          <w:ilvl w:val="0"/>
          <w:numId w:val="2"/>
        </w:numPr>
        <w:tabs>
          <w:tab w:pos="1019" w:val="left" w:leader="none"/>
        </w:tabs>
        <w:spacing w:line="293" w:lineRule="exact" w:before="0" w:after="0"/>
        <w:ind w:left="1019" w:right="0" w:hanging="359"/>
        <w:jc w:val="left"/>
        <w:rPr>
          <w:sz w:val="24"/>
        </w:rPr>
      </w:pPr>
      <w:r>
        <w:rPr>
          <w:sz w:val="24"/>
        </w:rPr>
        <w:t>13</w:t>
      </w:r>
      <w:r>
        <w:rPr>
          <w:spacing w:val="-1"/>
          <w:sz w:val="24"/>
        </w:rPr>
        <w:t> </w:t>
      </w:r>
      <w:r>
        <w:rPr>
          <w:sz w:val="24"/>
        </w:rPr>
        <w:t>hours</w:t>
      </w:r>
      <w:r>
        <w:rPr>
          <w:spacing w:val="-3"/>
          <w:sz w:val="24"/>
        </w:rPr>
        <w:t> </w:t>
      </w:r>
      <w:r>
        <w:rPr>
          <w:sz w:val="24"/>
        </w:rPr>
        <w:t>of </w:t>
      </w:r>
      <w:r>
        <w:rPr>
          <w:spacing w:val="-2"/>
          <w:sz w:val="24"/>
        </w:rPr>
        <w:t>electives.</w:t>
      </w:r>
    </w:p>
    <w:p>
      <w:pPr>
        <w:pStyle w:val="BodyText"/>
        <w:spacing w:before="12"/>
        <w:rPr>
          <w:sz w:val="23"/>
        </w:rPr>
      </w:pPr>
    </w:p>
    <w:p>
      <w:pPr>
        <w:pStyle w:val="BodyText"/>
        <w:ind w:left="660" w:right="100"/>
      </w:pPr>
      <w:r>
        <w:rPr/>
        <w:t>Students could still elect to complete an 18 hour</w:t>
      </w:r>
      <w:r>
        <w:rPr>
          <w:spacing w:val="40"/>
        </w:rPr>
        <w:t> </w:t>
      </w:r>
      <w:r>
        <w:rPr/>
        <w:t>area of concentration, or the courses required</w:t>
      </w:r>
      <w:r>
        <w:rPr>
          <w:spacing w:val="-5"/>
        </w:rPr>
        <w:t> </w:t>
      </w:r>
      <w:r>
        <w:rPr/>
        <w:t>to</w:t>
      </w:r>
      <w:r>
        <w:rPr>
          <w:spacing w:val="-6"/>
        </w:rPr>
        <w:t> </w:t>
      </w:r>
      <w:r>
        <w:rPr/>
        <w:t>complete</w:t>
      </w:r>
      <w:r>
        <w:rPr>
          <w:spacing w:val="-6"/>
        </w:rPr>
        <w:t> </w:t>
      </w:r>
      <w:r>
        <w:rPr/>
        <w:t>another</w:t>
      </w:r>
      <w:r>
        <w:rPr>
          <w:spacing w:val="-3"/>
        </w:rPr>
        <w:t> </w:t>
      </w:r>
      <w:r>
        <w:rPr/>
        <w:t>endorsement</w:t>
      </w:r>
      <w:r>
        <w:rPr>
          <w:spacing w:val="-3"/>
        </w:rPr>
        <w:t> </w:t>
      </w:r>
      <w:r>
        <w:rPr/>
        <w:t>area.</w:t>
      </w:r>
      <w:r>
        <w:rPr>
          <w:spacing w:val="-6"/>
        </w:rPr>
        <w:t> </w:t>
      </w:r>
      <w:r>
        <w:rPr/>
        <w:t>Those</w:t>
      </w:r>
      <w:r>
        <w:rPr>
          <w:spacing w:val="-3"/>
        </w:rPr>
        <w:t> </w:t>
      </w:r>
      <w:r>
        <w:rPr/>
        <w:t>options</w:t>
      </w:r>
      <w:r>
        <w:rPr>
          <w:spacing w:val="-4"/>
        </w:rPr>
        <w:t> </w:t>
      </w:r>
      <w:r>
        <w:rPr/>
        <w:t>would</w:t>
      </w:r>
      <w:r>
        <w:rPr>
          <w:spacing w:val="-5"/>
        </w:rPr>
        <w:t> </w:t>
      </w:r>
      <w:r>
        <w:rPr/>
        <w:t>not,</w:t>
      </w:r>
      <w:r>
        <w:rPr>
          <w:spacing w:val="-4"/>
        </w:rPr>
        <w:t> </w:t>
      </w:r>
      <w:r>
        <w:rPr/>
        <w:t>however,</w:t>
      </w:r>
      <w:r>
        <w:rPr>
          <w:spacing w:val="-6"/>
        </w:rPr>
        <w:t> </w:t>
      </w:r>
      <w:r>
        <w:rPr/>
        <w:t>fall within the guarantees for graduation that are a part of the GRADPACT initiative.</w:t>
      </w:r>
    </w:p>
    <w:p>
      <w:pPr>
        <w:pStyle w:val="BodyText"/>
        <w:spacing w:before="11"/>
        <w:rPr>
          <w:sz w:val="23"/>
        </w:rPr>
      </w:pPr>
    </w:p>
    <w:p>
      <w:pPr>
        <w:pStyle w:val="BodyText"/>
        <w:tabs>
          <w:tab w:pos="804" w:val="left" w:leader="none"/>
        </w:tabs>
        <w:ind w:left="300"/>
      </w:pPr>
      <w:r>
        <w:rPr>
          <w:spacing w:val="-4"/>
        </w:rPr>
        <w:t>Ill.</w:t>
      </w:r>
      <w:r>
        <w:rPr/>
        <w:tab/>
        <w:t>Early</w:t>
      </w:r>
      <w:r>
        <w:rPr>
          <w:spacing w:val="-4"/>
        </w:rPr>
        <w:t> </w:t>
      </w:r>
      <w:r>
        <w:rPr/>
        <w:t>Childhood</w:t>
      </w:r>
      <w:r>
        <w:rPr>
          <w:spacing w:val="-3"/>
        </w:rPr>
        <w:t> </w:t>
      </w:r>
      <w:r>
        <w:rPr>
          <w:spacing w:val="-2"/>
        </w:rPr>
        <w:t>Education</w:t>
      </w:r>
    </w:p>
    <w:p>
      <w:pPr>
        <w:pStyle w:val="BodyText"/>
        <w:spacing w:before="3"/>
      </w:pPr>
    </w:p>
    <w:p>
      <w:pPr>
        <w:pStyle w:val="BodyText"/>
        <w:ind w:left="300" w:right="148"/>
      </w:pPr>
      <w:r>
        <w:rPr/>
        <w:t>No course deletions or new course additions are recommended for</w:t>
      </w:r>
      <w:r>
        <w:rPr>
          <w:spacing w:val="40"/>
        </w:rPr>
        <w:t> </w:t>
      </w:r>
      <w:r>
        <w:rPr/>
        <w:t>this program, since it requires only 124 credit hours to complete.</w:t>
      </w:r>
      <w:r>
        <w:rPr>
          <w:spacing w:val="40"/>
        </w:rPr>
        <w:t> </w:t>
      </w:r>
      <w:r>
        <w:rPr/>
        <w:t>However, there have been problems in students actually graduating</w:t>
      </w:r>
      <w:r>
        <w:rPr>
          <w:spacing w:val="40"/>
        </w:rPr>
        <w:t> </w:t>
      </w:r>
      <w:r>
        <w:rPr/>
        <w:t>within</w:t>
      </w:r>
      <w:r>
        <w:rPr>
          <w:spacing w:val="40"/>
        </w:rPr>
        <w:t> </w:t>
      </w:r>
      <w:r>
        <w:rPr/>
        <w:t>the typical</w:t>
      </w:r>
      <w:r>
        <w:rPr>
          <w:spacing w:val="40"/>
        </w:rPr>
        <w:t> </w:t>
      </w:r>
      <w:r>
        <w:rPr/>
        <w:t>four</w:t>
      </w:r>
      <w:r>
        <w:rPr>
          <w:spacing w:val="40"/>
        </w:rPr>
        <w:t> </w:t>
      </w:r>
      <w:r>
        <w:rPr/>
        <w:t>year</w:t>
      </w:r>
      <w:r>
        <w:rPr>
          <w:spacing w:val="40"/>
        </w:rPr>
        <w:t> </w:t>
      </w:r>
      <w:r>
        <w:rPr/>
        <w:t>time frame. These problems can apparently be</w:t>
      </w:r>
      <w:r>
        <w:rPr>
          <w:spacing w:val="-2"/>
        </w:rPr>
        <w:t> </w:t>
      </w:r>
      <w:r>
        <w:rPr/>
        <w:t>attributed</w:t>
      </w:r>
      <w:r>
        <w:rPr>
          <w:spacing w:val="-4"/>
        </w:rPr>
        <w:t> </w:t>
      </w:r>
      <w:r>
        <w:rPr/>
        <w:t>to</w:t>
      </w:r>
      <w:r>
        <w:rPr>
          <w:spacing w:val="-2"/>
        </w:rPr>
        <w:t> </w:t>
      </w:r>
      <w:r>
        <w:rPr/>
        <w:t>1)</w:t>
      </w:r>
      <w:r>
        <w:rPr>
          <w:spacing w:val="-5"/>
        </w:rPr>
        <w:t> </w:t>
      </w:r>
      <w:r>
        <w:rPr/>
        <w:t>the</w:t>
      </w:r>
      <w:r>
        <w:rPr>
          <w:spacing w:val="-2"/>
        </w:rPr>
        <w:t> </w:t>
      </w:r>
      <w:r>
        <w:rPr/>
        <w:t>timing</w:t>
      </w:r>
      <w:r>
        <w:rPr>
          <w:spacing w:val="-3"/>
        </w:rPr>
        <w:t> </w:t>
      </w:r>
      <w:r>
        <w:rPr/>
        <w:t>of</w:t>
      </w:r>
      <w:r>
        <w:rPr>
          <w:spacing w:val="-2"/>
        </w:rPr>
        <w:t> </w:t>
      </w:r>
      <w:r>
        <w:rPr/>
        <w:t>students'</w:t>
      </w:r>
      <w:r>
        <w:rPr>
          <w:spacing w:val="-3"/>
        </w:rPr>
        <w:t> </w:t>
      </w:r>
      <w:r>
        <w:rPr/>
        <w:t>decisions</w:t>
      </w:r>
      <w:r>
        <w:rPr>
          <w:spacing w:val="-3"/>
        </w:rPr>
        <w:t> </w:t>
      </w:r>
      <w:r>
        <w:rPr/>
        <w:t>to</w:t>
      </w:r>
      <w:r>
        <w:rPr>
          <w:spacing w:val="-5"/>
        </w:rPr>
        <w:t> </w:t>
      </w:r>
      <w:r>
        <w:rPr/>
        <w:t>enter</w:t>
      </w:r>
      <w:r>
        <w:rPr>
          <w:spacing w:val="-4"/>
        </w:rPr>
        <w:t> </w:t>
      </w:r>
      <w:r>
        <w:rPr/>
        <w:t>the</w:t>
      </w:r>
      <w:r>
        <w:rPr>
          <w:spacing w:val="-4"/>
        </w:rPr>
        <w:t> </w:t>
      </w:r>
      <w:r>
        <w:rPr/>
        <w:t>program,</w:t>
      </w:r>
      <w:r>
        <w:rPr>
          <w:spacing w:val="-5"/>
        </w:rPr>
        <w:t> </w:t>
      </w:r>
      <w:r>
        <w:rPr/>
        <w:t>2)</w:t>
      </w:r>
      <w:r>
        <w:rPr>
          <w:spacing w:val="-3"/>
        </w:rPr>
        <w:t> </w:t>
      </w:r>
      <w:r>
        <w:rPr/>
        <w:t>general</w:t>
      </w:r>
      <w:r>
        <w:rPr>
          <w:spacing w:val="-3"/>
        </w:rPr>
        <w:t> </w:t>
      </w:r>
      <w:r>
        <w:rPr/>
        <w:t>education course availability, and 3) professional education course availability. The first two problems should be dealt with through the general arrangements that will be a part of the GRADPACT agreements, which will apparently</w:t>
      </w:r>
      <w:r>
        <w:rPr>
          <w:spacing w:val="-2"/>
        </w:rPr>
        <w:t> </w:t>
      </w:r>
      <w:r>
        <w:rPr/>
        <w:t>be</w:t>
      </w:r>
      <w:r>
        <w:rPr>
          <w:spacing w:val="-1"/>
        </w:rPr>
        <w:t> </w:t>
      </w:r>
      <w:r>
        <w:rPr/>
        <w:t>worked out this</w:t>
      </w:r>
      <w:r>
        <w:rPr>
          <w:spacing w:val="-1"/>
        </w:rPr>
        <w:t> </w:t>
      </w:r>
      <w:r>
        <w:rPr/>
        <w:t>summer. In</w:t>
      </w:r>
      <w:r>
        <w:rPr>
          <w:spacing w:val="-1"/>
        </w:rPr>
        <w:t> </w:t>
      </w:r>
      <w:r>
        <w:rPr/>
        <w:t>addition, it is</w:t>
      </w:r>
      <w:r>
        <w:rPr>
          <w:spacing w:val="-1"/>
        </w:rPr>
        <w:t> </w:t>
      </w:r>
      <w:r>
        <w:rPr/>
        <w:t>recommended that the required professional education courses be offered every semester. This should</w:t>
      </w:r>
    </w:p>
    <w:p>
      <w:pPr>
        <w:spacing w:after="0"/>
        <w:sectPr>
          <w:pgSz w:w="12240" w:h="15840"/>
          <w:pgMar w:header="724" w:footer="1020" w:top="1380" w:bottom="1220" w:left="1140" w:right="1360"/>
        </w:sectPr>
      </w:pPr>
    </w:p>
    <w:p>
      <w:pPr>
        <w:pStyle w:val="BodyText"/>
        <w:spacing w:before="41"/>
        <w:ind w:left="300" w:right="100"/>
      </w:pPr>
      <w:r>
        <w:rPr/>
        <w:t>eliminate</w:t>
      </w:r>
      <w:r>
        <w:rPr>
          <w:spacing w:val="-3"/>
        </w:rPr>
        <w:t> </w:t>
      </w:r>
      <w:r>
        <w:rPr/>
        <w:t>the</w:t>
      </w:r>
      <w:r>
        <w:rPr>
          <w:spacing w:val="-4"/>
        </w:rPr>
        <w:t> </w:t>
      </w:r>
      <w:r>
        <w:rPr/>
        <w:t>remaining</w:t>
      </w:r>
      <w:r>
        <w:rPr>
          <w:spacing w:val="-7"/>
        </w:rPr>
        <w:t> </w:t>
      </w:r>
      <w:r>
        <w:rPr/>
        <w:t>problem</w:t>
      </w:r>
      <w:r>
        <w:rPr>
          <w:spacing w:val="-1"/>
        </w:rPr>
        <w:t> </w:t>
      </w:r>
      <w:r>
        <w:rPr/>
        <w:t>students</w:t>
      </w:r>
      <w:r>
        <w:rPr>
          <w:spacing w:val="-2"/>
        </w:rPr>
        <w:t> </w:t>
      </w:r>
      <w:r>
        <w:rPr/>
        <w:t>have</w:t>
      </w:r>
      <w:r>
        <w:rPr>
          <w:spacing w:val="-4"/>
        </w:rPr>
        <w:t> </w:t>
      </w:r>
      <w:r>
        <w:rPr/>
        <w:t>had</w:t>
      </w:r>
      <w:r>
        <w:rPr>
          <w:spacing w:val="-1"/>
        </w:rPr>
        <w:t> </w:t>
      </w:r>
      <w:r>
        <w:rPr/>
        <w:t>in</w:t>
      </w:r>
      <w:r>
        <w:rPr>
          <w:spacing w:val="-3"/>
        </w:rPr>
        <w:t> </w:t>
      </w:r>
      <w:r>
        <w:rPr/>
        <w:t>completing</w:t>
      </w:r>
      <w:r>
        <w:rPr>
          <w:spacing w:val="-2"/>
        </w:rPr>
        <w:t> </w:t>
      </w:r>
      <w:r>
        <w:rPr/>
        <w:t>the</w:t>
      </w:r>
      <w:r>
        <w:rPr>
          <w:spacing w:val="-4"/>
        </w:rPr>
        <w:t> </w:t>
      </w:r>
      <w:r>
        <w:rPr/>
        <w:t>Early</w:t>
      </w:r>
      <w:r>
        <w:rPr>
          <w:spacing w:val="-2"/>
        </w:rPr>
        <w:t> </w:t>
      </w:r>
      <w:r>
        <w:rPr/>
        <w:t>Childhood</w:t>
      </w:r>
      <w:r>
        <w:rPr>
          <w:spacing w:val="-3"/>
        </w:rPr>
        <w:t> </w:t>
      </w:r>
      <w:r>
        <w:rPr/>
        <w:t>Program within four years. Thus, E330, Infant Learning Environments, would be offered both fall and spring</w:t>
      </w:r>
      <w:r>
        <w:rPr>
          <w:spacing w:val="-4"/>
        </w:rPr>
        <w:t> </w:t>
      </w:r>
      <w:r>
        <w:rPr/>
        <w:t>terms,</w:t>
      </w:r>
      <w:r>
        <w:rPr>
          <w:spacing w:val="-4"/>
        </w:rPr>
        <w:t> </w:t>
      </w:r>
      <w:r>
        <w:rPr/>
        <w:t>rather</w:t>
      </w:r>
      <w:r>
        <w:rPr>
          <w:spacing w:val="-3"/>
        </w:rPr>
        <w:t> </w:t>
      </w:r>
      <w:r>
        <w:rPr/>
        <w:t>than</w:t>
      </w:r>
      <w:r>
        <w:rPr>
          <w:spacing w:val="-3"/>
        </w:rPr>
        <w:t> </w:t>
      </w:r>
      <w:r>
        <w:rPr/>
        <w:t>fall</w:t>
      </w:r>
      <w:r>
        <w:rPr>
          <w:spacing w:val="-4"/>
        </w:rPr>
        <w:t> </w:t>
      </w:r>
      <w:r>
        <w:rPr/>
        <w:t>only;</w:t>
      </w:r>
      <w:r>
        <w:rPr>
          <w:spacing w:val="-4"/>
        </w:rPr>
        <w:t> </w:t>
      </w:r>
      <w:r>
        <w:rPr/>
        <w:t>E337</w:t>
      </w:r>
      <w:r>
        <w:rPr>
          <w:spacing w:val="-2"/>
        </w:rPr>
        <w:t> </w:t>
      </w:r>
      <w:r>
        <w:rPr/>
        <w:t>would</w:t>
      </w:r>
      <w:r>
        <w:rPr>
          <w:spacing w:val="-3"/>
        </w:rPr>
        <w:t> </w:t>
      </w:r>
      <w:r>
        <w:rPr/>
        <w:t>be</w:t>
      </w:r>
      <w:r>
        <w:rPr>
          <w:spacing w:val="-3"/>
        </w:rPr>
        <w:t> </w:t>
      </w:r>
      <w:r>
        <w:rPr/>
        <w:t>offered</w:t>
      </w:r>
      <w:r>
        <w:rPr>
          <w:spacing w:val="-3"/>
        </w:rPr>
        <w:t> </w:t>
      </w:r>
      <w:r>
        <w:rPr/>
        <w:t>both</w:t>
      </w:r>
      <w:r>
        <w:rPr>
          <w:spacing w:val="-3"/>
        </w:rPr>
        <w:t> </w:t>
      </w:r>
      <w:r>
        <w:rPr/>
        <w:t>fall</w:t>
      </w:r>
      <w:r>
        <w:rPr>
          <w:spacing w:val="-4"/>
        </w:rPr>
        <w:t> </w:t>
      </w:r>
      <w:r>
        <w:rPr/>
        <w:t>and</w:t>
      </w:r>
      <w:r>
        <w:rPr>
          <w:spacing w:val="-2"/>
        </w:rPr>
        <w:t> </w:t>
      </w:r>
      <w:r>
        <w:rPr/>
        <w:t>spring</w:t>
      </w:r>
      <w:r>
        <w:rPr>
          <w:spacing w:val="-2"/>
        </w:rPr>
        <w:t> </w:t>
      </w:r>
      <w:r>
        <w:rPr/>
        <w:t>semesters,</w:t>
      </w:r>
      <w:r>
        <w:rPr>
          <w:spacing w:val="-2"/>
        </w:rPr>
        <w:t> </w:t>
      </w:r>
      <w:r>
        <w:rPr/>
        <w:t>rather than spring only. E335 would continue to be offered both semesters.</w:t>
      </w:r>
    </w:p>
    <w:p>
      <w:pPr>
        <w:pStyle w:val="BodyText"/>
      </w:pPr>
    </w:p>
    <w:p>
      <w:pPr>
        <w:pStyle w:val="ListParagraph"/>
        <w:numPr>
          <w:ilvl w:val="0"/>
          <w:numId w:val="3"/>
        </w:numPr>
        <w:tabs>
          <w:tab w:pos="777" w:val="left" w:leader="none"/>
        </w:tabs>
        <w:spacing w:line="240" w:lineRule="auto" w:before="0" w:after="0"/>
        <w:ind w:left="777" w:right="0" w:hanging="477"/>
        <w:jc w:val="left"/>
        <w:rPr>
          <w:sz w:val="24"/>
        </w:rPr>
      </w:pPr>
      <w:r>
        <w:rPr>
          <w:sz w:val="24"/>
        </w:rPr>
        <w:t>Secondary</w:t>
      </w:r>
      <w:r>
        <w:rPr>
          <w:spacing w:val="-6"/>
          <w:sz w:val="24"/>
        </w:rPr>
        <w:t> </w:t>
      </w:r>
      <w:r>
        <w:rPr>
          <w:spacing w:val="-2"/>
          <w:sz w:val="24"/>
        </w:rPr>
        <w:t>Education</w:t>
      </w:r>
    </w:p>
    <w:p>
      <w:pPr>
        <w:pStyle w:val="BodyText"/>
        <w:spacing w:before="11"/>
        <w:rPr>
          <w:sz w:val="23"/>
        </w:rPr>
      </w:pPr>
    </w:p>
    <w:p>
      <w:pPr>
        <w:pStyle w:val="BodyText"/>
        <w:spacing w:before="1"/>
        <w:ind w:left="300" w:right="218"/>
        <w:jc w:val="both"/>
      </w:pPr>
      <w:r>
        <w:rPr/>
        <w:t>Current</w:t>
      </w:r>
      <w:r>
        <w:rPr>
          <w:spacing w:val="-3"/>
        </w:rPr>
        <w:t> </w:t>
      </w:r>
      <w:r>
        <w:rPr/>
        <w:t>secondary</w:t>
      </w:r>
      <w:r>
        <w:rPr>
          <w:spacing w:val="-5"/>
        </w:rPr>
        <w:t> </w:t>
      </w:r>
      <w:r>
        <w:rPr/>
        <w:t>education</w:t>
      </w:r>
      <w:r>
        <w:rPr>
          <w:spacing w:val="-4"/>
        </w:rPr>
        <w:t> </w:t>
      </w:r>
      <w:r>
        <w:rPr/>
        <w:t>program</w:t>
      </w:r>
      <w:r>
        <w:rPr>
          <w:spacing w:val="-1"/>
        </w:rPr>
        <w:t> </w:t>
      </w:r>
      <w:r>
        <w:rPr/>
        <w:t>requirements</w:t>
      </w:r>
      <w:r>
        <w:rPr>
          <w:spacing w:val="-2"/>
        </w:rPr>
        <w:t> </w:t>
      </w:r>
      <w:r>
        <w:rPr/>
        <w:t>range</w:t>
      </w:r>
      <w:r>
        <w:rPr>
          <w:spacing w:val="-4"/>
        </w:rPr>
        <w:t> </w:t>
      </w:r>
      <w:r>
        <w:rPr/>
        <w:t>from</w:t>
      </w:r>
      <w:r>
        <w:rPr>
          <w:spacing w:val="-4"/>
        </w:rPr>
        <w:t> </w:t>
      </w:r>
      <w:r>
        <w:rPr/>
        <w:t>124</w:t>
      </w:r>
      <w:r>
        <w:rPr>
          <w:spacing w:val="-4"/>
        </w:rPr>
        <w:t> </w:t>
      </w:r>
      <w:r>
        <w:rPr/>
        <w:t>to</w:t>
      </w:r>
      <w:r>
        <w:rPr>
          <w:spacing w:val="-3"/>
        </w:rPr>
        <w:t> </w:t>
      </w:r>
      <w:r>
        <w:rPr/>
        <w:t>(in</w:t>
      </w:r>
      <w:r>
        <w:rPr>
          <w:spacing w:val="-4"/>
        </w:rPr>
        <w:t> </w:t>
      </w:r>
      <w:r>
        <w:rPr/>
        <w:t>the</w:t>
      </w:r>
      <w:r>
        <w:rPr>
          <w:spacing w:val="-3"/>
        </w:rPr>
        <w:t> </w:t>
      </w:r>
      <w:r>
        <w:rPr/>
        <w:t>cases</w:t>
      </w:r>
      <w:r>
        <w:rPr>
          <w:spacing w:val="-3"/>
        </w:rPr>
        <w:t> </w:t>
      </w:r>
      <w:r>
        <w:rPr/>
        <w:t>of</w:t>
      </w:r>
      <w:r>
        <w:rPr>
          <w:spacing w:val="-3"/>
        </w:rPr>
        <w:t> </w:t>
      </w:r>
      <w:r>
        <w:rPr/>
        <w:t>science and social studies)</w:t>
      </w:r>
      <w:r>
        <w:rPr>
          <w:spacing w:val="-1"/>
        </w:rPr>
        <w:t> </w:t>
      </w:r>
      <w:r>
        <w:rPr/>
        <w:t>130 credit hours. The recommended changes in secondary education allow for a maximum of 128 total semester hours.</w:t>
      </w:r>
    </w:p>
    <w:p>
      <w:pPr>
        <w:pStyle w:val="BodyText"/>
        <w:spacing w:before="1"/>
      </w:pPr>
    </w:p>
    <w:p>
      <w:pPr>
        <w:pStyle w:val="BodyText"/>
        <w:ind w:left="300" w:right="100"/>
      </w:pPr>
      <w:r>
        <w:rPr/>
        <w:t>Since</w:t>
      </w:r>
      <w:r>
        <w:rPr>
          <w:spacing w:val="-2"/>
        </w:rPr>
        <w:t> </w:t>
      </w:r>
      <w:r>
        <w:rPr/>
        <w:t>social</w:t>
      </w:r>
      <w:r>
        <w:rPr>
          <w:spacing w:val="-3"/>
        </w:rPr>
        <w:t> </w:t>
      </w:r>
      <w:r>
        <w:rPr/>
        <w:t>studies</w:t>
      </w:r>
      <w:r>
        <w:rPr>
          <w:spacing w:val="-1"/>
        </w:rPr>
        <w:t> </w:t>
      </w:r>
      <w:r>
        <w:rPr/>
        <w:t>is</w:t>
      </w:r>
      <w:r>
        <w:rPr>
          <w:spacing w:val="-5"/>
        </w:rPr>
        <w:t> </w:t>
      </w:r>
      <w:r>
        <w:rPr/>
        <w:t>a</w:t>
      </w:r>
      <w:r>
        <w:rPr>
          <w:spacing w:val="-3"/>
        </w:rPr>
        <w:t> </w:t>
      </w:r>
      <w:r>
        <w:rPr/>
        <w:t>College</w:t>
      </w:r>
      <w:r>
        <w:rPr>
          <w:spacing w:val="-2"/>
        </w:rPr>
        <w:t> </w:t>
      </w:r>
      <w:r>
        <w:rPr/>
        <w:t>of</w:t>
      </w:r>
      <w:r>
        <w:rPr>
          <w:spacing w:val="-2"/>
        </w:rPr>
        <w:t> </w:t>
      </w:r>
      <w:r>
        <w:rPr/>
        <w:t>Arts</w:t>
      </w:r>
      <w:r>
        <w:rPr>
          <w:spacing w:val="-3"/>
        </w:rPr>
        <w:t> </w:t>
      </w:r>
      <w:r>
        <w:rPr/>
        <w:t>and</w:t>
      </w:r>
      <w:r>
        <w:rPr>
          <w:spacing w:val="-4"/>
        </w:rPr>
        <w:t> </w:t>
      </w:r>
      <w:r>
        <w:rPr/>
        <w:t>Sciences</w:t>
      </w:r>
      <w:r>
        <w:rPr>
          <w:spacing w:val="-3"/>
        </w:rPr>
        <w:t> </w:t>
      </w:r>
      <w:r>
        <w:rPr/>
        <w:t>program,</w:t>
      </w:r>
      <w:r>
        <w:rPr>
          <w:spacing w:val="-4"/>
        </w:rPr>
        <w:t> </w:t>
      </w:r>
      <w:r>
        <w:rPr/>
        <w:t>the</w:t>
      </w:r>
      <w:r>
        <w:rPr>
          <w:spacing w:val="-5"/>
        </w:rPr>
        <w:t> </w:t>
      </w:r>
      <w:r>
        <w:rPr/>
        <w:t>School</w:t>
      </w:r>
      <w:r>
        <w:rPr>
          <w:spacing w:val="-5"/>
        </w:rPr>
        <w:t> </w:t>
      </w:r>
      <w:r>
        <w:rPr/>
        <w:t>of</w:t>
      </w:r>
      <w:r>
        <w:rPr>
          <w:spacing w:val="-2"/>
        </w:rPr>
        <w:t> </w:t>
      </w:r>
      <w:r>
        <w:rPr/>
        <w:t>Education</w:t>
      </w:r>
      <w:r>
        <w:rPr>
          <w:spacing w:val="-3"/>
        </w:rPr>
        <w:t> </w:t>
      </w:r>
      <w:r>
        <w:rPr/>
        <w:t>need</w:t>
      </w:r>
      <w:r>
        <w:rPr>
          <w:spacing w:val="-4"/>
        </w:rPr>
        <w:t> </w:t>
      </w:r>
      <w:r>
        <w:rPr/>
        <w:t>not concern itself with its conformity with the requirements of GRADPACT.</w:t>
      </w:r>
    </w:p>
    <w:p>
      <w:pPr>
        <w:pStyle w:val="BodyText"/>
      </w:pPr>
    </w:p>
    <w:p>
      <w:pPr>
        <w:pStyle w:val="BodyText"/>
        <w:ind w:left="300" w:right="70"/>
      </w:pPr>
      <w:r>
        <w:rPr/>
        <w:t>The secondary science program, which totals 130 credit hours, includes a 5 semester hour course in methods of teaching (M446). This requirement was created to meet the state certification requirements and the National Science Teachers Association professional standards. Thus it is recommended that M446 remain at 5 credits. This would mean the total semester hours required in science education would be 129, including 4 electives. Given the total credit hour requirement, and the fact that very few students decide as freshmen to complete a program in science education {reportedly, this figure is approximately 1 every 5 years),</w:t>
      </w:r>
      <w:r>
        <w:rPr>
          <w:spacing w:val="-4"/>
        </w:rPr>
        <w:t> </w:t>
      </w:r>
      <w:r>
        <w:rPr/>
        <w:t>it</w:t>
      </w:r>
      <w:r>
        <w:rPr>
          <w:spacing w:val="-3"/>
        </w:rPr>
        <w:t> </w:t>
      </w:r>
      <w:r>
        <w:rPr/>
        <w:t>is</w:t>
      </w:r>
      <w:r>
        <w:rPr>
          <w:spacing w:val="-6"/>
        </w:rPr>
        <w:t> </w:t>
      </w:r>
      <w:r>
        <w:rPr/>
        <w:t>recommended</w:t>
      </w:r>
      <w:r>
        <w:rPr>
          <w:spacing w:val="-3"/>
        </w:rPr>
        <w:t> </w:t>
      </w:r>
      <w:r>
        <w:rPr/>
        <w:t>that</w:t>
      </w:r>
      <w:r>
        <w:rPr>
          <w:spacing w:val="-5"/>
        </w:rPr>
        <w:t> </w:t>
      </w:r>
      <w:r>
        <w:rPr/>
        <w:t>the</w:t>
      </w:r>
      <w:r>
        <w:rPr>
          <w:spacing w:val="-3"/>
        </w:rPr>
        <w:t> </w:t>
      </w:r>
      <w:r>
        <w:rPr/>
        <w:t>secondary</w:t>
      </w:r>
      <w:r>
        <w:rPr>
          <w:spacing w:val="-4"/>
        </w:rPr>
        <w:t> </w:t>
      </w:r>
      <w:r>
        <w:rPr/>
        <w:t>science</w:t>
      </w:r>
      <w:r>
        <w:rPr>
          <w:spacing w:val="-3"/>
        </w:rPr>
        <w:t> </w:t>
      </w:r>
      <w:r>
        <w:rPr/>
        <w:t>education</w:t>
      </w:r>
      <w:r>
        <w:rPr>
          <w:spacing w:val="-4"/>
        </w:rPr>
        <w:t> </w:t>
      </w:r>
      <w:r>
        <w:rPr/>
        <w:t>program</w:t>
      </w:r>
      <w:r>
        <w:rPr>
          <w:spacing w:val="-4"/>
        </w:rPr>
        <w:t> </w:t>
      </w:r>
      <w:r>
        <w:rPr/>
        <w:t>be</w:t>
      </w:r>
      <w:r>
        <w:rPr>
          <w:spacing w:val="-3"/>
        </w:rPr>
        <w:t> </w:t>
      </w:r>
      <w:r>
        <w:rPr/>
        <w:t>removed</w:t>
      </w:r>
      <w:r>
        <w:rPr>
          <w:spacing w:val="-5"/>
        </w:rPr>
        <w:t> </w:t>
      </w:r>
      <w:r>
        <w:rPr/>
        <w:t>from</w:t>
      </w:r>
      <w:r>
        <w:rPr>
          <w:spacing w:val="-6"/>
        </w:rPr>
        <w:t> </w:t>
      </w:r>
      <w:r>
        <w:rPr/>
        <w:t>the list of programs that will be affiliated with GRADPACT.</w:t>
      </w:r>
    </w:p>
    <w:p>
      <w:pPr>
        <w:pStyle w:val="BodyText"/>
        <w:spacing w:before="1"/>
      </w:pPr>
    </w:p>
    <w:p>
      <w:pPr>
        <w:pStyle w:val="BodyText"/>
        <w:spacing w:before="1"/>
        <w:ind w:left="300" w:right="195"/>
      </w:pPr>
      <w:r>
        <w:rPr/>
        <w:t>To</w:t>
      </w:r>
      <w:r>
        <w:rPr>
          <w:spacing w:val="-2"/>
        </w:rPr>
        <w:t> </w:t>
      </w:r>
      <w:r>
        <w:rPr/>
        <w:t>accomplish</w:t>
      </w:r>
      <w:r>
        <w:rPr>
          <w:spacing w:val="-4"/>
        </w:rPr>
        <w:t> </w:t>
      </w:r>
      <w:r>
        <w:rPr/>
        <w:t>the</w:t>
      </w:r>
      <w:r>
        <w:rPr>
          <w:spacing w:val="-5"/>
        </w:rPr>
        <w:t> </w:t>
      </w:r>
      <w:r>
        <w:rPr/>
        <w:t>reductions</w:t>
      </w:r>
      <w:r>
        <w:rPr>
          <w:spacing w:val="-5"/>
        </w:rPr>
        <w:t> </w:t>
      </w:r>
      <w:r>
        <w:rPr/>
        <w:t>necessary</w:t>
      </w:r>
      <w:r>
        <w:rPr>
          <w:spacing w:val="-3"/>
        </w:rPr>
        <w:t> </w:t>
      </w:r>
      <w:r>
        <w:rPr/>
        <w:t>in</w:t>
      </w:r>
      <w:r>
        <w:rPr>
          <w:spacing w:val="-4"/>
        </w:rPr>
        <w:t> </w:t>
      </w:r>
      <w:r>
        <w:rPr/>
        <w:t>total</w:t>
      </w:r>
      <w:r>
        <w:rPr>
          <w:spacing w:val="-3"/>
        </w:rPr>
        <w:t> </w:t>
      </w:r>
      <w:r>
        <w:rPr/>
        <w:t>hour</w:t>
      </w:r>
      <w:r>
        <w:rPr>
          <w:spacing w:val="-2"/>
        </w:rPr>
        <w:t> </w:t>
      </w:r>
      <w:r>
        <w:rPr/>
        <w:t>requirements</w:t>
      </w:r>
      <w:r>
        <w:rPr>
          <w:spacing w:val="-5"/>
        </w:rPr>
        <w:t> </w:t>
      </w:r>
      <w:r>
        <w:rPr/>
        <w:t>for</w:t>
      </w:r>
      <w:r>
        <w:rPr>
          <w:spacing w:val="-4"/>
        </w:rPr>
        <w:t> </w:t>
      </w:r>
      <w:r>
        <w:rPr/>
        <w:t>the</w:t>
      </w:r>
      <w:r>
        <w:rPr>
          <w:spacing w:val="-5"/>
        </w:rPr>
        <w:t> </w:t>
      </w:r>
      <w:r>
        <w:rPr/>
        <w:t>other</w:t>
      </w:r>
      <w:r>
        <w:rPr>
          <w:spacing w:val="-4"/>
        </w:rPr>
        <w:t> </w:t>
      </w:r>
      <w:r>
        <w:rPr/>
        <w:t>program areas, and to increase the number of electives for students, it is recommended that:</w:t>
      </w:r>
    </w:p>
    <w:p>
      <w:pPr>
        <w:pStyle w:val="BodyText"/>
        <w:spacing w:before="11"/>
        <w:rPr>
          <w:sz w:val="23"/>
        </w:rPr>
      </w:pPr>
    </w:p>
    <w:p>
      <w:pPr>
        <w:pStyle w:val="ListParagraph"/>
        <w:numPr>
          <w:ilvl w:val="1"/>
          <w:numId w:val="3"/>
        </w:numPr>
        <w:tabs>
          <w:tab w:pos="1020" w:val="left" w:leader="none"/>
        </w:tabs>
        <w:spacing w:line="240" w:lineRule="auto" w:before="0" w:after="0"/>
        <w:ind w:left="1020" w:right="130" w:hanging="360"/>
        <w:jc w:val="left"/>
        <w:rPr>
          <w:sz w:val="24"/>
        </w:rPr>
      </w:pPr>
      <w:r>
        <w:rPr>
          <w:sz w:val="24"/>
        </w:rPr>
        <w:t>for</w:t>
      </w:r>
      <w:r>
        <w:rPr>
          <w:spacing w:val="-5"/>
          <w:sz w:val="24"/>
        </w:rPr>
        <w:t> </w:t>
      </w:r>
      <w:r>
        <w:rPr>
          <w:sz w:val="24"/>
        </w:rPr>
        <w:t>each</w:t>
      </w:r>
      <w:r>
        <w:rPr>
          <w:spacing w:val="-3"/>
          <w:sz w:val="24"/>
        </w:rPr>
        <w:t> </w:t>
      </w:r>
      <w:r>
        <w:rPr>
          <w:sz w:val="24"/>
        </w:rPr>
        <w:t>of</w:t>
      </w:r>
      <w:r>
        <w:rPr>
          <w:spacing w:val="-5"/>
          <w:sz w:val="24"/>
        </w:rPr>
        <w:t> </w:t>
      </w:r>
      <w:r>
        <w:rPr>
          <w:sz w:val="24"/>
        </w:rPr>
        <w:t>our</w:t>
      </w:r>
      <w:r>
        <w:rPr>
          <w:spacing w:val="-6"/>
          <w:sz w:val="24"/>
        </w:rPr>
        <w:t> </w:t>
      </w:r>
      <w:r>
        <w:rPr>
          <w:sz w:val="24"/>
        </w:rPr>
        <w:t>programs</w:t>
      </w:r>
      <w:r>
        <w:rPr>
          <w:spacing w:val="-6"/>
          <w:sz w:val="24"/>
        </w:rPr>
        <w:t> </w:t>
      </w:r>
      <w:r>
        <w:rPr>
          <w:sz w:val="24"/>
        </w:rPr>
        <w:t>in</w:t>
      </w:r>
      <w:r>
        <w:rPr>
          <w:spacing w:val="-3"/>
          <w:sz w:val="24"/>
        </w:rPr>
        <w:t> </w:t>
      </w:r>
      <w:r>
        <w:rPr>
          <w:sz w:val="24"/>
        </w:rPr>
        <w:t>secondary</w:t>
      </w:r>
      <w:r>
        <w:rPr>
          <w:spacing w:val="-4"/>
          <w:sz w:val="24"/>
        </w:rPr>
        <w:t> </w:t>
      </w:r>
      <w:r>
        <w:rPr>
          <w:sz w:val="24"/>
        </w:rPr>
        <w:t>education,</w:t>
      </w:r>
      <w:r>
        <w:rPr>
          <w:spacing w:val="-6"/>
          <w:sz w:val="24"/>
        </w:rPr>
        <w:t> </w:t>
      </w:r>
      <w:r>
        <w:rPr>
          <w:sz w:val="24"/>
        </w:rPr>
        <w:t>the</w:t>
      </w:r>
      <w:r>
        <w:rPr>
          <w:spacing w:val="-6"/>
          <w:sz w:val="24"/>
        </w:rPr>
        <w:t> </w:t>
      </w:r>
      <w:r>
        <w:rPr>
          <w:sz w:val="24"/>
        </w:rPr>
        <w:t>general</w:t>
      </w:r>
      <w:r>
        <w:rPr>
          <w:spacing w:val="-3"/>
          <w:sz w:val="24"/>
        </w:rPr>
        <w:t> </w:t>
      </w:r>
      <w:r>
        <w:rPr>
          <w:sz w:val="24"/>
        </w:rPr>
        <w:t>education</w:t>
      </w:r>
      <w:r>
        <w:rPr>
          <w:spacing w:val="-5"/>
          <w:sz w:val="24"/>
        </w:rPr>
        <w:t> </w:t>
      </w:r>
      <w:r>
        <w:rPr>
          <w:sz w:val="24"/>
        </w:rPr>
        <w:t>requirement</w:t>
      </w:r>
      <w:r>
        <w:rPr>
          <w:spacing w:val="-3"/>
          <w:sz w:val="24"/>
        </w:rPr>
        <w:t> </w:t>
      </w:r>
      <w:r>
        <w:rPr>
          <w:sz w:val="24"/>
        </w:rPr>
        <w:t>be reduced from 45 to 40 credit hours; the new total meets the requirements for general education spelled out in State Rules 46 and 47.</w:t>
      </w:r>
    </w:p>
    <w:p>
      <w:pPr>
        <w:pStyle w:val="BodyText"/>
        <w:spacing w:before="12"/>
        <w:rPr>
          <w:sz w:val="23"/>
        </w:rPr>
      </w:pPr>
    </w:p>
    <w:p>
      <w:pPr>
        <w:pStyle w:val="ListParagraph"/>
        <w:numPr>
          <w:ilvl w:val="1"/>
          <w:numId w:val="3"/>
        </w:numPr>
        <w:tabs>
          <w:tab w:pos="1020" w:val="left" w:leader="none"/>
        </w:tabs>
        <w:spacing w:line="240" w:lineRule="auto" w:before="0" w:after="0"/>
        <w:ind w:left="1020" w:right="225" w:hanging="360"/>
        <w:jc w:val="left"/>
        <w:rPr>
          <w:sz w:val="24"/>
        </w:rPr>
      </w:pPr>
      <w:r>
        <w:rPr>
          <w:sz w:val="24"/>
        </w:rPr>
        <w:t>the</w:t>
      </w:r>
      <w:r>
        <w:rPr>
          <w:spacing w:val="-6"/>
          <w:sz w:val="24"/>
        </w:rPr>
        <w:t> </w:t>
      </w:r>
      <w:r>
        <w:rPr>
          <w:sz w:val="24"/>
        </w:rPr>
        <w:t>professional</w:t>
      </w:r>
      <w:r>
        <w:rPr>
          <w:spacing w:val="-3"/>
          <w:sz w:val="24"/>
        </w:rPr>
        <w:t> </w:t>
      </w:r>
      <w:r>
        <w:rPr>
          <w:sz w:val="24"/>
        </w:rPr>
        <w:t>education</w:t>
      </w:r>
      <w:r>
        <w:rPr>
          <w:spacing w:val="-3"/>
          <w:sz w:val="24"/>
        </w:rPr>
        <w:t> </w:t>
      </w:r>
      <w:r>
        <w:rPr>
          <w:sz w:val="24"/>
        </w:rPr>
        <w:t>sequence</w:t>
      </w:r>
      <w:r>
        <w:rPr>
          <w:spacing w:val="-5"/>
          <w:sz w:val="24"/>
        </w:rPr>
        <w:t> </w:t>
      </w:r>
      <w:r>
        <w:rPr>
          <w:sz w:val="24"/>
        </w:rPr>
        <w:t>total</w:t>
      </w:r>
      <w:r>
        <w:rPr>
          <w:spacing w:val="-4"/>
          <w:sz w:val="24"/>
        </w:rPr>
        <w:t> </w:t>
      </w:r>
      <w:r>
        <w:rPr>
          <w:sz w:val="24"/>
        </w:rPr>
        <w:t>19</w:t>
      </w:r>
      <w:r>
        <w:rPr>
          <w:spacing w:val="-3"/>
          <w:sz w:val="24"/>
        </w:rPr>
        <w:t> </w:t>
      </w:r>
      <w:r>
        <w:rPr>
          <w:sz w:val="24"/>
        </w:rPr>
        <w:t>credit</w:t>
      </w:r>
      <w:r>
        <w:rPr>
          <w:spacing w:val="-5"/>
          <w:sz w:val="24"/>
        </w:rPr>
        <w:t> </w:t>
      </w:r>
      <w:r>
        <w:rPr>
          <w:sz w:val="24"/>
        </w:rPr>
        <w:t>hours,</w:t>
      </w:r>
      <w:r>
        <w:rPr>
          <w:spacing w:val="-4"/>
          <w:sz w:val="24"/>
        </w:rPr>
        <w:t> </w:t>
      </w:r>
      <w:r>
        <w:rPr>
          <w:sz w:val="24"/>
        </w:rPr>
        <w:t>with</w:t>
      </w:r>
      <w:r>
        <w:rPr>
          <w:spacing w:val="-3"/>
          <w:sz w:val="24"/>
        </w:rPr>
        <w:t> </w:t>
      </w:r>
      <w:r>
        <w:rPr>
          <w:sz w:val="24"/>
        </w:rPr>
        <w:t>M201</w:t>
      </w:r>
      <w:r>
        <w:rPr>
          <w:spacing w:val="-5"/>
          <w:sz w:val="24"/>
        </w:rPr>
        <w:t> </w:t>
      </w:r>
      <w:r>
        <w:rPr>
          <w:sz w:val="24"/>
        </w:rPr>
        <w:t>being</w:t>
      </w:r>
      <w:r>
        <w:rPr>
          <w:spacing w:val="-4"/>
          <w:sz w:val="24"/>
        </w:rPr>
        <w:t> </w:t>
      </w:r>
      <w:r>
        <w:rPr>
          <w:sz w:val="24"/>
        </w:rPr>
        <w:t>exclusively offered for 1 credit.</w:t>
      </w:r>
    </w:p>
    <w:p>
      <w:pPr>
        <w:pStyle w:val="BodyText"/>
        <w:spacing w:before="11"/>
        <w:rPr>
          <w:sz w:val="23"/>
        </w:rPr>
      </w:pPr>
    </w:p>
    <w:p>
      <w:pPr>
        <w:pStyle w:val="ListParagraph"/>
        <w:numPr>
          <w:ilvl w:val="1"/>
          <w:numId w:val="3"/>
        </w:numPr>
        <w:tabs>
          <w:tab w:pos="1019" w:val="left" w:leader="none"/>
        </w:tabs>
        <w:spacing w:line="240" w:lineRule="auto" w:before="0" w:after="0"/>
        <w:ind w:left="1019" w:right="0" w:hanging="359"/>
        <w:jc w:val="left"/>
        <w:rPr>
          <w:sz w:val="24"/>
        </w:rPr>
      </w:pPr>
      <w:r>
        <w:rPr>
          <w:sz w:val="24"/>
        </w:rPr>
        <w:t>student</w:t>
      </w:r>
      <w:r>
        <w:rPr>
          <w:spacing w:val="-6"/>
          <w:sz w:val="24"/>
        </w:rPr>
        <w:t> </w:t>
      </w:r>
      <w:r>
        <w:rPr>
          <w:sz w:val="24"/>
        </w:rPr>
        <w:t>teaching</w:t>
      </w:r>
      <w:r>
        <w:rPr>
          <w:spacing w:val="-4"/>
          <w:sz w:val="24"/>
        </w:rPr>
        <w:t> </w:t>
      </w:r>
      <w:r>
        <w:rPr>
          <w:sz w:val="24"/>
        </w:rPr>
        <w:t>be</w:t>
      </w:r>
      <w:r>
        <w:rPr>
          <w:spacing w:val="-4"/>
          <w:sz w:val="24"/>
        </w:rPr>
        <w:t> </w:t>
      </w:r>
      <w:r>
        <w:rPr>
          <w:sz w:val="24"/>
        </w:rPr>
        <w:t>offered</w:t>
      </w:r>
      <w:r>
        <w:rPr>
          <w:spacing w:val="-3"/>
          <w:sz w:val="24"/>
        </w:rPr>
        <w:t> </w:t>
      </w:r>
      <w:r>
        <w:rPr>
          <w:sz w:val="24"/>
        </w:rPr>
        <w:t>for</w:t>
      </w:r>
      <w:r>
        <w:rPr>
          <w:spacing w:val="-3"/>
          <w:sz w:val="24"/>
        </w:rPr>
        <w:t> </w:t>
      </w:r>
      <w:r>
        <w:rPr>
          <w:sz w:val="24"/>
        </w:rPr>
        <w:t>10</w:t>
      </w:r>
      <w:r>
        <w:rPr>
          <w:spacing w:val="-3"/>
          <w:sz w:val="24"/>
        </w:rPr>
        <w:t> </w:t>
      </w:r>
      <w:r>
        <w:rPr>
          <w:sz w:val="24"/>
        </w:rPr>
        <w:t>semester</w:t>
      </w:r>
      <w:r>
        <w:rPr>
          <w:spacing w:val="-3"/>
          <w:sz w:val="24"/>
        </w:rPr>
        <w:t> </w:t>
      </w:r>
      <w:r>
        <w:rPr>
          <w:sz w:val="24"/>
        </w:rPr>
        <w:t>hours</w:t>
      </w:r>
      <w:r>
        <w:rPr>
          <w:spacing w:val="-2"/>
          <w:sz w:val="24"/>
        </w:rPr>
        <w:t> </w:t>
      </w:r>
      <w:r>
        <w:rPr>
          <w:sz w:val="24"/>
        </w:rPr>
        <w:t>for</w:t>
      </w:r>
      <w:r>
        <w:rPr>
          <w:spacing w:val="-3"/>
          <w:sz w:val="24"/>
        </w:rPr>
        <w:t> </w:t>
      </w:r>
      <w:r>
        <w:rPr>
          <w:sz w:val="24"/>
        </w:rPr>
        <w:t>all</w:t>
      </w:r>
      <w:r>
        <w:rPr>
          <w:spacing w:val="5"/>
          <w:sz w:val="24"/>
        </w:rPr>
        <w:t> </w:t>
      </w:r>
      <w:r>
        <w:rPr>
          <w:sz w:val="24"/>
        </w:rPr>
        <w:t>secondary</w:t>
      </w:r>
      <w:r>
        <w:rPr>
          <w:spacing w:val="-3"/>
          <w:sz w:val="24"/>
        </w:rPr>
        <w:t> </w:t>
      </w:r>
      <w:r>
        <w:rPr>
          <w:sz w:val="24"/>
        </w:rPr>
        <w:t>education</w:t>
      </w:r>
      <w:r>
        <w:rPr>
          <w:spacing w:val="-3"/>
          <w:sz w:val="24"/>
        </w:rPr>
        <w:t> </w:t>
      </w:r>
      <w:r>
        <w:rPr>
          <w:spacing w:val="-2"/>
          <w:sz w:val="24"/>
        </w:rPr>
        <w:t>students.</w:t>
      </w:r>
    </w:p>
    <w:p>
      <w:pPr>
        <w:pStyle w:val="BodyText"/>
        <w:spacing w:before="3"/>
      </w:pPr>
    </w:p>
    <w:p>
      <w:pPr>
        <w:pStyle w:val="ListParagraph"/>
        <w:numPr>
          <w:ilvl w:val="1"/>
          <w:numId w:val="3"/>
        </w:numPr>
        <w:tabs>
          <w:tab w:pos="1019" w:val="left" w:leader="none"/>
        </w:tabs>
        <w:spacing w:line="240" w:lineRule="auto" w:before="0" w:after="0"/>
        <w:ind w:left="1019" w:right="0" w:hanging="359"/>
        <w:jc w:val="left"/>
        <w:rPr>
          <w:sz w:val="24"/>
        </w:rPr>
      </w:pPr>
      <w:r>
        <w:rPr>
          <w:sz w:val="24"/>
        </w:rPr>
        <w:t>students</w:t>
      </w:r>
      <w:r>
        <w:rPr>
          <w:spacing w:val="-7"/>
          <w:sz w:val="24"/>
        </w:rPr>
        <w:t> </w:t>
      </w:r>
      <w:r>
        <w:rPr>
          <w:sz w:val="24"/>
        </w:rPr>
        <w:t>be</w:t>
      </w:r>
      <w:r>
        <w:rPr>
          <w:spacing w:val="-4"/>
          <w:sz w:val="24"/>
        </w:rPr>
        <w:t> </w:t>
      </w:r>
      <w:r>
        <w:rPr>
          <w:sz w:val="24"/>
        </w:rPr>
        <w:t>allowed</w:t>
      </w:r>
      <w:r>
        <w:rPr>
          <w:spacing w:val="-1"/>
          <w:sz w:val="24"/>
        </w:rPr>
        <w:t> </w:t>
      </w:r>
      <w:r>
        <w:rPr>
          <w:sz w:val="24"/>
        </w:rPr>
        <w:t>elective</w:t>
      </w:r>
      <w:r>
        <w:rPr>
          <w:spacing w:val="-3"/>
          <w:sz w:val="24"/>
        </w:rPr>
        <w:t> </w:t>
      </w:r>
      <w:r>
        <w:rPr>
          <w:sz w:val="24"/>
        </w:rPr>
        <w:t>credits,</w:t>
      </w:r>
      <w:r>
        <w:rPr>
          <w:spacing w:val="-4"/>
          <w:sz w:val="24"/>
        </w:rPr>
        <w:t> </w:t>
      </w:r>
      <w:r>
        <w:rPr>
          <w:sz w:val="24"/>
        </w:rPr>
        <w:t>ranging</w:t>
      </w:r>
      <w:r>
        <w:rPr>
          <w:spacing w:val="-2"/>
          <w:sz w:val="24"/>
        </w:rPr>
        <w:t> </w:t>
      </w:r>
      <w:r>
        <w:rPr>
          <w:sz w:val="24"/>
        </w:rPr>
        <w:t>from</w:t>
      </w:r>
      <w:r>
        <w:rPr>
          <w:spacing w:val="-3"/>
          <w:sz w:val="24"/>
        </w:rPr>
        <w:t> </w:t>
      </w:r>
      <w:r>
        <w:rPr>
          <w:sz w:val="24"/>
        </w:rPr>
        <w:t>14</w:t>
      </w:r>
      <w:r>
        <w:rPr>
          <w:spacing w:val="-4"/>
          <w:sz w:val="24"/>
        </w:rPr>
        <w:t> </w:t>
      </w:r>
      <w:r>
        <w:rPr>
          <w:sz w:val="24"/>
        </w:rPr>
        <w:t>to</w:t>
      </w:r>
      <w:r>
        <w:rPr>
          <w:spacing w:val="-4"/>
          <w:sz w:val="24"/>
        </w:rPr>
        <w:t> </w:t>
      </w:r>
      <w:r>
        <w:rPr>
          <w:sz w:val="24"/>
        </w:rPr>
        <w:t>19</w:t>
      </w:r>
      <w:r>
        <w:rPr>
          <w:spacing w:val="5"/>
          <w:sz w:val="24"/>
        </w:rPr>
        <w:t> </w:t>
      </w:r>
      <w:r>
        <w:rPr>
          <w:spacing w:val="-2"/>
          <w:sz w:val="24"/>
        </w:rPr>
        <w:t>credits.</w:t>
      </w:r>
    </w:p>
    <w:p>
      <w:pPr>
        <w:pStyle w:val="BodyText"/>
      </w:pPr>
    </w:p>
    <w:p>
      <w:pPr>
        <w:pStyle w:val="BodyText"/>
        <w:ind w:left="660" w:right="100"/>
      </w:pPr>
      <w:r>
        <w:rPr/>
        <w:t>This</w:t>
      </w:r>
      <w:r>
        <w:rPr>
          <w:spacing w:val="-4"/>
        </w:rPr>
        <w:t> </w:t>
      </w:r>
      <w:r>
        <w:rPr/>
        <w:t>would</w:t>
      </w:r>
      <w:r>
        <w:rPr>
          <w:spacing w:val="-3"/>
        </w:rPr>
        <w:t> </w:t>
      </w:r>
      <w:r>
        <w:rPr/>
        <w:t>mean</w:t>
      </w:r>
      <w:r>
        <w:rPr>
          <w:spacing w:val="-5"/>
        </w:rPr>
        <w:t> </w:t>
      </w:r>
      <w:r>
        <w:rPr/>
        <w:t>that</w:t>
      </w:r>
      <w:r>
        <w:rPr>
          <w:spacing w:val="-3"/>
        </w:rPr>
        <w:t> </w:t>
      </w:r>
      <w:r>
        <w:rPr/>
        <w:t>secondary</w:t>
      </w:r>
      <w:r>
        <w:rPr>
          <w:spacing w:val="-4"/>
        </w:rPr>
        <w:t> </w:t>
      </w:r>
      <w:r>
        <w:rPr/>
        <w:t>education</w:t>
      </w:r>
      <w:r>
        <w:rPr>
          <w:spacing w:val="-5"/>
        </w:rPr>
        <w:t> </w:t>
      </w:r>
      <w:r>
        <w:rPr/>
        <w:t>programs</w:t>
      </w:r>
      <w:r>
        <w:rPr>
          <w:spacing w:val="-4"/>
        </w:rPr>
        <w:t> </w:t>
      </w:r>
      <w:r>
        <w:rPr/>
        <w:t>in</w:t>
      </w:r>
      <w:r>
        <w:rPr>
          <w:spacing w:val="-5"/>
        </w:rPr>
        <w:t> </w:t>
      </w:r>
      <w:r>
        <w:rPr/>
        <w:t>the</w:t>
      </w:r>
      <w:r>
        <w:rPr>
          <w:spacing w:val="-3"/>
        </w:rPr>
        <w:t> </w:t>
      </w:r>
      <w:r>
        <w:rPr/>
        <w:t>School</w:t>
      </w:r>
      <w:r>
        <w:rPr>
          <w:spacing w:val="-3"/>
        </w:rPr>
        <w:t> </w:t>
      </w:r>
      <w:r>
        <w:rPr/>
        <w:t>of</w:t>
      </w:r>
      <w:r>
        <w:rPr>
          <w:spacing w:val="-3"/>
        </w:rPr>
        <w:t> </w:t>
      </w:r>
      <w:r>
        <w:rPr/>
        <w:t>Education,</w:t>
      </w:r>
      <w:r>
        <w:rPr>
          <w:spacing w:val="-6"/>
        </w:rPr>
        <w:t> </w:t>
      </w:r>
      <w:r>
        <w:rPr/>
        <w:t>excluding science, would total 128 semester hours (40 in general education, 33 in professional education courses, from 36 to 41 credits in the major, and 14 to 19 credits of electives).</w:t>
      </w:r>
    </w:p>
    <w:p>
      <w:pPr>
        <w:pStyle w:val="BodyText"/>
        <w:spacing w:before="11"/>
        <w:rPr>
          <w:sz w:val="23"/>
        </w:rPr>
      </w:pPr>
    </w:p>
    <w:p>
      <w:pPr>
        <w:pStyle w:val="ListParagraph"/>
        <w:numPr>
          <w:ilvl w:val="0"/>
          <w:numId w:val="3"/>
        </w:numPr>
        <w:tabs>
          <w:tab w:pos="715" w:val="left" w:leader="none"/>
        </w:tabs>
        <w:spacing w:line="240" w:lineRule="auto" w:before="0" w:after="0"/>
        <w:ind w:left="715" w:right="0" w:hanging="415"/>
        <w:jc w:val="left"/>
        <w:rPr>
          <w:sz w:val="24"/>
        </w:rPr>
      </w:pPr>
      <w:r>
        <w:rPr>
          <w:sz w:val="24"/>
        </w:rPr>
        <w:t>Elementary</w:t>
      </w:r>
      <w:r>
        <w:rPr>
          <w:spacing w:val="-5"/>
          <w:sz w:val="24"/>
        </w:rPr>
        <w:t> </w:t>
      </w:r>
      <w:r>
        <w:rPr>
          <w:spacing w:val="-2"/>
          <w:sz w:val="24"/>
        </w:rPr>
        <w:t>Education</w:t>
      </w:r>
    </w:p>
    <w:p>
      <w:pPr>
        <w:spacing w:after="0" w:line="240" w:lineRule="auto"/>
        <w:jc w:val="left"/>
        <w:rPr>
          <w:sz w:val="24"/>
        </w:rPr>
        <w:sectPr>
          <w:pgSz w:w="12240" w:h="15840"/>
          <w:pgMar w:header="724" w:footer="1020" w:top="1380" w:bottom="1220" w:left="1140" w:right="1360"/>
        </w:sectPr>
      </w:pPr>
    </w:p>
    <w:p>
      <w:pPr>
        <w:pStyle w:val="BodyText"/>
        <w:spacing w:before="41"/>
        <w:ind w:left="300" w:right="195"/>
      </w:pPr>
      <w:r>
        <w:rPr/>
        <w:t>Currently,</w:t>
      </w:r>
      <w:r>
        <w:rPr>
          <w:spacing w:val="-4"/>
        </w:rPr>
        <w:t> </w:t>
      </w:r>
      <w:r>
        <w:rPr/>
        <w:t>the</w:t>
      </w:r>
      <w:r>
        <w:rPr>
          <w:spacing w:val="-5"/>
        </w:rPr>
        <w:t> </w:t>
      </w:r>
      <w:r>
        <w:rPr/>
        <w:t>program</w:t>
      </w:r>
      <w:r>
        <w:rPr>
          <w:spacing w:val="-4"/>
        </w:rPr>
        <w:t> </w:t>
      </w:r>
      <w:r>
        <w:rPr/>
        <w:t>in</w:t>
      </w:r>
      <w:r>
        <w:rPr>
          <w:spacing w:val="-3"/>
        </w:rPr>
        <w:t> </w:t>
      </w:r>
      <w:r>
        <w:rPr/>
        <w:t>elementary</w:t>
      </w:r>
      <w:r>
        <w:rPr>
          <w:spacing w:val="-4"/>
        </w:rPr>
        <w:t> </w:t>
      </w:r>
      <w:r>
        <w:rPr/>
        <w:t>education</w:t>
      </w:r>
      <w:r>
        <w:rPr>
          <w:spacing w:val="-5"/>
        </w:rPr>
        <w:t> </w:t>
      </w:r>
      <w:r>
        <w:rPr/>
        <w:t>includes</w:t>
      </w:r>
      <w:r>
        <w:rPr>
          <w:spacing w:val="-6"/>
        </w:rPr>
        <w:t> </w:t>
      </w:r>
      <w:r>
        <w:rPr/>
        <w:t>a</w:t>
      </w:r>
      <w:r>
        <w:rPr>
          <w:spacing w:val="-6"/>
        </w:rPr>
        <w:t> </w:t>
      </w:r>
      <w:r>
        <w:rPr/>
        <w:t>total</w:t>
      </w:r>
      <w:r>
        <w:rPr>
          <w:spacing w:val="-4"/>
        </w:rPr>
        <w:t> </w:t>
      </w:r>
      <w:r>
        <w:rPr/>
        <w:t>of</w:t>
      </w:r>
      <w:r>
        <w:rPr>
          <w:spacing w:val="-3"/>
        </w:rPr>
        <w:t> </w:t>
      </w:r>
      <w:r>
        <w:rPr/>
        <w:t>129</w:t>
      </w:r>
      <w:r>
        <w:rPr>
          <w:spacing w:val="-5"/>
        </w:rPr>
        <w:t> </w:t>
      </w:r>
      <w:r>
        <w:rPr/>
        <w:t>required</w:t>
      </w:r>
      <w:r>
        <w:rPr>
          <w:spacing w:val="-3"/>
        </w:rPr>
        <w:t> </w:t>
      </w:r>
      <w:r>
        <w:rPr/>
        <w:t>semester hours, with no electives. To reduce this program to 128 semester hours, and to increase student flexibility, in part by adding electives, it is recommended that:</w:t>
      </w:r>
    </w:p>
    <w:p>
      <w:pPr>
        <w:pStyle w:val="BodyText"/>
      </w:pPr>
    </w:p>
    <w:p>
      <w:pPr>
        <w:pStyle w:val="ListParagraph"/>
        <w:numPr>
          <w:ilvl w:val="1"/>
          <w:numId w:val="3"/>
        </w:numPr>
        <w:tabs>
          <w:tab w:pos="1020" w:val="left" w:leader="none"/>
        </w:tabs>
        <w:spacing w:line="240" w:lineRule="auto" w:before="0" w:after="0"/>
        <w:ind w:left="1020" w:right="302" w:hanging="360"/>
        <w:jc w:val="left"/>
        <w:rPr>
          <w:sz w:val="24"/>
        </w:rPr>
      </w:pPr>
      <w:r>
        <w:rPr>
          <w:sz w:val="24"/>
        </w:rPr>
        <w:t>H340,</w:t>
      </w:r>
      <w:r>
        <w:rPr>
          <w:spacing w:val="-3"/>
          <w:sz w:val="24"/>
        </w:rPr>
        <w:t> </w:t>
      </w:r>
      <w:r>
        <w:rPr>
          <w:sz w:val="24"/>
        </w:rPr>
        <w:t>Education</w:t>
      </w:r>
      <w:r>
        <w:rPr>
          <w:spacing w:val="-5"/>
          <w:sz w:val="24"/>
        </w:rPr>
        <w:t> </w:t>
      </w:r>
      <w:r>
        <w:rPr>
          <w:sz w:val="24"/>
        </w:rPr>
        <w:t>and</w:t>
      </w:r>
      <w:r>
        <w:rPr>
          <w:spacing w:val="-3"/>
          <w:sz w:val="24"/>
        </w:rPr>
        <w:t> </w:t>
      </w:r>
      <w:r>
        <w:rPr>
          <w:sz w:val="24"/>
        </w:rPr>
        <w:t>American</w:t>
      </w:r>
      <w:r>
        <w:rPr>
          <w:spacing w:val="-3"/>
          <w:sz w:val="24"/>
        </w:rPr>
        <w:t> </w:t>
      </w:r>
      <w:r>
        <w:rPr>
          <w:sz w:val="24"/>
        </w:rPr>
        <w:t>Culture</w:t>
      </w:r>
      <w:r>
        <w:rPr>
          <w:spacing w:val="-3"/>
          <w:sz w:val="24"/>
        </w:rPr>
        <w:t> </w:t>
      </w:r>
      <w:r>
        <w:rPr>
          <w:sz w:val="24"/>
        </w:rPr>
        <w:t>(3</w:t>
      </w:r>
      <w:r>
        <w:rPr>
          <w:spacing w:val="-4"/>
          <w:sz w:val="24"/>
        </w:rPr>
        <w:t> </w:t>
      </w:r>
      <w:r>
        <w:rPr>
          <w:sz w:val="24"/>
        </w:rPr>
        <w:t>semester</w:t>
      </w:r>
      <w:r>
        <w:rPr>
          <w:spacing w:val="-3"/>
          <w:sz w:val="24"/>
        </w:rPr>
        <w:t> </w:t>
      </w:r>
      <w:r>
        <w:rPr>
          <w:sz w:val="24"/>
        </w:rPr>
        <w:t>hours),</w:t>
      </w:r>
      <w:r>
        <w:rPr>
          <w:spacing w:val="-4"/>
          <w:sz w:val="24"/>
        </w:rPr>
        <w:t> </w:t>
      </w:r>
      <w:r>
        <w:rPr>
          <w:sz w:val="24"/>
        </w:rPr>
        <w:t>offered</w:t>
      </w:r>
      <w:r>
        <w:rPr>
          <w:spacing w:val="-5"/>
          <w:sz w:val="24"/>
        </w:rPr>
        <w:t> </w:t>
      </w:r>
      <w:r>
        <w:rPr>
          <w:sz w:val="24"/>
        </w:rPr>
        <w:t>by</w:t>
      </w:r>
      <w:r>
        <w:rPr>
          <w:spacing w:val="-7"/>
          <w:sz w:val="24"/>
        </w:rPr>
        <w:t> </w:t>
      </w:r>
      <w:r>
        <w:rPr>
          <w:sz w:val="24"/>
        </w:rPr>
        <w:t>the</w:t>
      </w:r>
      <w:r>
        <w:rPr>
          <w:spacing w:val="-5"/>
          <w:sz w:val="24"/>
        </w:rPr>
        <w:t> </w:t>
      </w:r>
      <w:r>
        <w:rPr>
          <w:sz w:val="24"/>
        </w:rPr>
        <w:t>Department of Educational Leadership and Policy Studies in the School of Education, currently required in the</w:t>
      </w:r>
      <w:r>
        <w:rPr>
          <w:spacing w:val="40"/>
          <w:sz w:val="24"/>
        </w:rPr>
        <w:t> </w:t>
      </w:r>
      <w:r>
        <w:rPr>
          <w:sz w:val="24"/>
        </w:rPr>
        <w:t>professional education component, be added to the requirements in general education/social studies; that category of requirements would then total 12 semester hours. This would in turn decrease the "pre-admission" requirements in professional education to 13 semester hours, compared with the current total of 16 </w:t>
      </w:r>
      <w:r>
        <w:rPr>
          <w:spacing w:val="-2"/>
          <w:sz w:val="24"/>
        </w:rPr>
        <w:t>hours.</w:t>
      </w:r>
    </w:p>
    <w:p>
      <w:pPr>
        <w:pStyle w:val="BodyText"/>
        <w:spacing w:before="1"/>
      </w:pPr>
    </w:p>
    <w:p>
      <w:pPr>
        <w:pStyle w:val="ListParagraph"/>
        <w:numPr>
          <w:ilvl w:val="1"/>
          <w:numId w:val="3"/>
        </w:numPr>
        <w:tabs>
          <w:tab w:pos="1020" w:val="left" w:leader="none"/>
        </w:tabs>
        <w:spacing w:line="240" w:lineRule="auto" w:before="0" w:after="0"/>
        <w:ind w:left="1020" w:right="420" w:hanging="360"/>
        <w:jc w:val="left"/>
        <w:rPr>
          <w:sz w:val="24"/>
        </w:rPr>
      </w:pPr>
      <w:r>
        <w:rPr>
          <w:sz w:val="24"/>
        </w:rPr>
        <w:t>the</w:t>
      </w:r>
      <w:r>
        <w:rPr>
          <w:spacing w:val="-6"/>
          <w:sz w:val="24"/>
        </w:rPr>
        <w:t> </w:t>
      </w:r>
      <w:r>
        <w:rPr>
          <w:sz w:val="24"/>
        </w:rPr>
        <w:t>"required</w:t>
      </w:r>
      <w:r>
        <w:rPr>
          <w:spacing w:val="-3"/>
          <w:sz w:val="24"/>
        </w:rPr>
        <w:t> </w:t>
      </w:r>
      <w:r>
        <w:rPr>
          <w:sz w:val="24"/>
        </w:rPr>
        <w:t>electives"</w:t>
      </w:r>
      <w:r>
        <w:rPr>
          <w:spacing w:val="-4"/>
          <w:sz w:val="24"/>
        </w:rPr>
        <w:t> </w:t>
      </w:r>
      <w:r>
        <w:rPr>
          <w:sz w:val="24"/>
        </w:rPr>
        <w:t>(currently</w:t>
      </w:r>
      <w:r>
        <w:rPr>
          <w:spacing w:val="-4"/>
          <w:sz w:val="24"/>
        </w:rPr>
        <w:t> </w:t>
      </w:r>
      <w:r>
        <w:rPr>
          <w:sz w:val="24"/>
        </w:rPr>
        <w:t>totaling</w:t>
      </w:r>
      <w:r>
        <w:rPr>
          <w:spacing w:val="-4"/>
          <w:sz w:val="24"/>
        </w:rPr>
        <w:t> </w:t>
      </w:r>
      <w:r>
        <w:rPr>
          <w:sz w:val="24"/>
        </w:rPr>
        <w:t>4</w:t>
      </w:r>
      <w:r>
        <w:rPr>
          <w:spacing w:val="-5"/>
          <w:sz w:val="24"/>
        </w:rPr>
        <w:t> </w:t>
      </w:r>
      <w:r>
        <w:rPr>
          <w:sz w:val="24"/>
        </w:rPr>
        <w:t>semester</w:t>
      </w:r>
      <w:r>
        <w:rPr>
          <w:spacing w:val="-5"/>
          <w:sz w:val="24"/>
        </w:rPr>
        <w:t> </w:t>
      </w:r>
      <w:r>
        <w:rPr>
          <w:sz w:val="24"/>
        </w:rPr>
        <w:t>hours)</w:t>
      </w:r>
      <w:r>
        <w:rPr>
          <w:spacing w:val="-5"/>
          <w:sz w:val="24"/>
        </w:rPr>
        <w:t> </w:t>
      </w:r>
      <w:r>
        <w:rPr>
          <w:sz w:val="24"/>
        </w:rPr>
        <w:t>in</w:t>
      </w:r>
      <w:r>
        <w:rPr>
          <w:spacing w:val="-3"/>
          <w:sz w:val="24"/>
        </w:rPr>
        <w:t> </w:t>
      </w:r>
      <w:r>
        <w:rPr>
          <w:sz w:val="24"/>
        </w:rPr>
        <w:t>general</w:t>
      </w:r>
      <w:r>
        <w:rPr>
          <w:spacing w:val="-6"/>
          <w:sz w:val="24"/>
        </w:rPr>
        <w:t> </w:t>
      </w:r>
      <w:r>
        <w:rPr>
          <w:sz w:val="24"/>
        </w:rPr>
        <w:t>education</w:t>
      </w:r>
      <w:r>
        <w:rPr>
          <w:spacing w:val="-3"/>
          <w:sz w:val="24"/>
        </w:rPr>
        <w:t> </w:t>
      </w:r>
      <w:r>
        <w:rPr>
          <w:sz w:val="24"/>
        </w:rPr>
        <w:t>be </w:t>
      </w:r>
      <w:r>
        <w:rPr>
          <w:spacing w:val="-2"/>
          <w:sz w:val="24"/>
        </w:rPr>
        <w:t>eliminated.</w:t>
      </w:r>
    </w:p>
    <w:p>
      <w:pPr>
        <w:pStyle w:val="BodyText"/>
      </w:pPr>
    </w:p>
    <w:p>
      <w:pPr>
        <w:pStyle w:val="ListParagraph"/>
        <w:numPr>
          <w:ilvl w:val="1"/>
          <w:numId w:val="3"/>
        </w:numPr>
        <w:tabs>
          <w:tab w:pos="1020" w:val="left" w:leader="none"/>
        </w:tabs>
        <w:spacing w:line="240" w:lineRule="auto" w:before="0" w:after="0"/>
        <w:ind w:left="1020" w:right="595" w:hanging="360"/>
        <w:jc w:val="left"/>
        <w:rPr>
          <w:sz w:val="24"/>
        </w:rPr>
      </w:pPr>
      <w:r>
        <w:rPr>
          <w:sz w:val="24"/>
        </w:rPr>
        <w:t>that</w:t>
      </w:r>
      <w:r>
        <w:rPr>
          <w:spacing w:val="-2"/>
          <w:sz w:val="24"/>
        </w:rPr>
        <w:t> </w:t>
      </w:r>
      <w:r>
        <w:rPr>
          <w:sz w:val="24"/>
        </w:rPr>
        <w:t>M333</w:t>
      </w:r>
      <w:r>
        <w:rPr>
          <w:spacing w:val="-4"/>
          <w:sz w:val="24"/>
        </w:rPr>
        <w:t> </w:t>
      </w:r>
      <w:r>
        <w:rPr>
          <w:sz w:val="24"/>
        </w:rPr>
        <w:t>(2</w:t>
      </w:r>
      <w:r>
        <w:rPr>
          <w:spacing w:val="-3"/>
          <w:sz w:val="24"/>
        </w:rPr>
        <w:t> </w:t>
      </w:r>
      <w:r>
        <w:rPr>
          <w:sz w:val="24"/>
        </w:rPr>
        <w:t>semester</w:t>
      </w:r>
      <w:r>
        <w:rPr>
          <w:spacing w:val="-4"/>
          <w:sz w:val="24"/>
        </w:rPr>
        <w:t> </w:t>
      </w:r>
      <w:r>
        <w:rPr>
          <w:sz w:val="24"/>
        </w:rPr>
        <w:t>hours)</w:t>
      </w:r>
      <w:r>
        <w:rPr>
          <w:spacing w:val="-4"/>
          <w:sz w:val="24"/>
        </w:rPr>
        <w:t> </w:t>
      </w:r>
      <w:r>
        <w:rPr>
          <w:sz w:val="24"/>
        </w:rPr>
        <w:t>and</w:t>
      </w:r>
      <w:r>
        <w:rPr>
          <w:spacing w:val="-4"/>
          <w:sz w:val="24"/>
        </w:rPr>
        <w:t> </w:t>
      </w:r>
      <w:r>
        <w:rPr>
          <w:sz w:val="24"/>
        </w:rPr>
        <w:t>M323</w:t>
      </w:r>
      <w:r>
        <w:rPr>
          <w:spacing w:val="-2"/>
          <w:sz w:val="24"/>
        </w:rPr>
        <w:t> </w:t>
      </w:r>
      <w:r>
        <w:rPr>
          <w:sz w:val="24"/>
        </w:rPr>
        <w:t>(2</w:t>
      </w:r>
      <w:r>
        <w:rPr>
          <w:spacing w:val="-3"/>
          <w:sz w:val="24"/>
        </w:rPr>
        <w:t> </w:t>
      </w:r>
      <w:r>
        <w:rPr>
          <w:sz w:val="24"/>
        </w:rPr>
        <w:t>semester</w:t>
      </w:r>
      <w:r>
        <w:rPr>
          <w:spacing w:val="-4"/>
          <w:sz w:val="24"/>
        </w:rPr>
        <w:t> </w:t>
      </w:r>
      <w:r>
        <w:rPr>
          <w:sz w:val="24"/>
        </w:rPr>
        <w:t>hours)</w:t>
      </w:r>
      <w:r>
        <w:rPr>
          <w:spacing w:val="-6"/>
          <w:sz w:val="24"/>
        </w:rPr>
        <w:t> </w:t>
      </w:r>
      <w:r>
        <w:rPr>
          <w:sz w:val="24"/>
        </w:rPr>
        <w:t>be</w:t>
      </w:r>
      <w:r>
        <w:rPr>
          <w:spacing w:val="-5"/>
          <w:sz w:val="24"/>
        </w:rPr>
        <w:t> </w:t>
      </w:r>
      <w:r>
        <w:rPr>
          <w:sz w:val="24"/>
        </w:rPr>
        <w:t>counted</w:t>
      </w:r>
      <w:r>
        <w:rPr>
          <w:spacing w:val="-2"/>
          <w:sz w:val="24"/>
        </w:rPr>
        <w:t> </w:t>
      </w:r>
      <w:r>
        <w:rPr>
          <w:sz w:val="24"/>
        </w:rPr>
        <w:t>as</w:t>
      </w:r>
      <w:r>
        <w:rPr>
          <w:spacing w:val="-3"/>
          <w:sz w:val="24"/>
        </w:rPr>
        <w:t> </w:t>
      </w:r>
      <w:r>
        <w:rPr>
          <w:sz w:val="24"/>
        </w:rPr>
        <w:t>fine</w:t>
      </w:r>
      <w:r>
        <w:rPr>
          <w:spacing w:val="-2"/>
          <w:sz w:val="24"/>
        </w:rPr>
        <w:t> </w:t>
      </w:r>
      <w:r>
        <w:rPr>
          <w:sz w:val="24"/>
        </w:rPr>
        <w:t>arts credits in general education, raising that requirement to 9 semester hours.</w:t>
      </w:r>
    </w:p>
    <w:p>
      <w:pPr>
        <w:pStyle w:val="BodyText"/>
        <w:spacing w:before="12"/>
        <w:rPr>
          <w:sz w:val="23"/>
        </w:rPr>
      </w:pPr>
    </w:p>
    <w:p>
      <w:pPr>
        <w:pStyle w:val="ListParagraph"/>
        <w:numPr>
          <w:ilvl w:val="1"/>
          <w:numId w:val="3"/>
        </w:numPr>
        <w:tabs>
          <w:tab w:pos="1020" w:val="left" w:leader="none"/>
        </w:tabs>
        <w:spacing w:line="240" w:lineRule="auto" w:before="0" w:after="0"/>
        <w:ind w:left="1020" w:right="647" w:hanging="360"/>
        <w:jc w:val="left"/>
        <w:rPr>
          <w:sz w:val="24"/>
        </w:rPr>
      </w:pPr>
      <w:r>
        <w:rPr>
          <w:sz w:val="24"/>
        </w:rPr>
        <w:t>that</w:t>
      </w:r>
      <w:r>
        <w:rPr>
          <w:spacing w:val="-3"/>
          <w:sz w:val="24"/>
        </w:rPr>
        <w:t> </w:t>
      </w:r>
      <w:r>
        <w:rPr>
          <w:sz w:val="24"/>
        </w:rPr>
        <w:t>E328</w:t>
      </w:r>
      <w:r>
        <w:rPr>
          <w:spacing w:val="-3"/>
          <w:sz w:val="24"/>
        </w:rPr>
        <w:t> </w:t>
      </w:r>
      <w:r>
        <w:rPr>
          <w:sz w:val="24"/>
        </w:rPr>
        <w:t>(3</w:t>
      </w:r>
      <w:r>
        <w:rPr>
          <w:spacing w:val="-6"/>
          <w:sz w:val="24"/>
        </w:rPr>
        <w:t> </w:t>
      </w:r>
      <w:r>
        <w:rPr>
          <w:sz w:val="24"/>
        </w:rPr>
        <w:t>semester</w:t>
      </w:r>
      <w:r>
        <w:rPr>
          <w:spacing w:val="-5"/>
          <w:sz w:val="24"/>
        </w:rPr>
        <w:t> </w:t>
      </w:r>
      <w:r>
        <w:rPr>
          <w:sz w:val="24"/>
        </w:rPr>
        <w:t>hours)</w:t>
      </w:r>
      <w:r>
        <w:rPr>
          <w:spacing w:val="-5"/>
          <w:sz w:val="24"/>
        </w:rPr>
        <w:t> </w:t>
      </w:r>
      <w:r>
        <w:rPr>
          <w:sz w:val="24"/>
        </w:rPr>
        <w:t>be</w:t>
      </w:r>
      <w:r>
        <w:rPr>
          <w:spacing w:val="-6"/>
          <w:sz w:val="24"/>
        </w:rPr>
        <w:t> </w:t>
      </w:r>
      <w:r>
        <w:rPr>
          <w:sz w:val="24"/>
        </w:rPr>
        <w:t>counted</w:t>
      </w:r>
      <w:r>
        <w:rPr>
          <w:spacing w:val="-3"/>
          <w:sz w:val="24"/>
        </w:rPr>
        <w:t> </w:t>
      </w:r>
      <w:r>
        <w:rPr>
          <w:sz w:val="24"/>
        </w:rPr>
        <w:t>as</w:t>
      </w:r>
      <w:r>
        <w:rPr>
          <w:spacing w:val="-6"/>
          <w:sz w:val="24"/>
        </w:rPr>
        <w:t> </w:t>
      </w:r>
      <w:r>
        <w:rPr>
          <w:sz w:val="24"/>
        </w:rPr>
        <w:t>meeting</w:t>
      </w:r>
      <w:r>
        <w:rPr>
          <w:spacing w:val="-4"/>
          <w:sz w:val="24"/>
        </w:rPr>
        <w:t> </w:t>
      </w:r>
      <w:r>
        <w:rPr>
          <w:sz w:val="24"/>
        </w:rPr>
        <w:t>the</w:t>
      </w:r>
      <w:r>
        <w:rPr>
          <w:spacing w:val="-3"/>
          <w:sz w:val="24"/>
        </w:rPr>
        <w:t> </w:t>
      </w:r>
      <w:r>
        <w:rPr>
          <w:sz w:val="24"/>
        </w:rPr>
        <w:t>science</w:t>
      </w:r>
      <w:r>
        <w:rPr>
          <w:spacing w:val="-3"/>
          <w:sz w:val="24"/>
        </w:rPr>
        <w:t> </w:t>
      </w:r>
      <w:r>
        <w:rPr>
          <w:sz w:val="24"/>
        </w:rPr>
        <w:t>general</w:t>
      </w:r>
      <w:r>
        <w:rPr>
          <w:spacing w:val="-6"/>
          <w:sz w:val="24"/>
        </w:rPr>
        <w:t> </w:t>
      </w:r>
      <w:r>
        <w:rPr>
          <w:sz w:val="24"/>
        </w:rPr>
        <w:t>education requirement, raising that total to 15 semester hours.</w:t>
      </w:r>
    </w:p>
    <w:p>
      <w:pPr>
        <w:pStyle w:val="BodyText"/>
        <w:spacing w:before="11"/>
        <w:rPr>
          <w:sz w:val="23"/>
        </w:rPr>
      </w:pPr>
    </w:p>
    <w:p>
      <w:pPr>
        <w:pStyle w:val="ListParagraph"/>
        <w:numPr>
          <w:ilvl w:val="1"/>
          <w:numId w:val="3"/>
        </w:numPr>
        <w:tabs>
          <w:tab w:pos="1020" w:val="left" w:leader="none"/>
        </w:tabs>
        <w:spacing w:line="242" w:lineRule="auto" w:before="0" w:after="0"/>
        <w:ind w:left="1020" w:right="170" w:hanging="360"/>
        <w:jc w:val="left"/>
        <w:rPr>
          <w:sz w:val="24"/>
        </w:rPr>
      </w:pPr>
      <w:r>
        <w:rPr>
          <w:sz w:val="24"/>
        </w:rPr>
        <w:t>that</w:t>
      </w:r>
      <w:r>
        <w:rPr>
          <w:spacing w:val="-2"/>
          <w:sz w:val="24"/>
        </w:rPr>
        <w:t> </w:t>
      </w:r>
      <w:r>
        <w:rPr>
          <w:sz w:val="24"/>
        </w:rPr>
        <w:t>the</w:t>
      </w:r>
      <w:r>
        <w:rPr>
          <w:spacing w:val="-5"/>
          <w:sz w:val="24"/>
        </w:rPr>
        <w:t> </w:t>
      </w:r>
      <w:r>
        <w:rPr>
          <w:sz w:val="24"/>
        </w:rPr>
        <w:t>area</w:t>
      </w:r>
      <w:r>
        <w:rPr>
          <w:spacing w:val="-5"/>
          <w:sz w:val="24"/>
        </w:rPr>
        <w:t> </w:t>
      </w:r>
      <w:r>
        <w:rPr>
          <w:sz w:val="24"/>
        </w:rPr>
        <w:t>of</w:t>
      </w:r>
      <w:r>
        <w:rPr>
          <w:spacing w:val="-4"/>
          <w:sz w:val="24"/>
        </w:rPr>
        <w:t> </w:t>
      </w:r>
      <w:r>
        <w:rPr>
          <w:sz w:val="24"/>
        </w:rPr>
        <w:t>concentration</w:t>
      </w:r>
      <w:r>
        <w:rPr>
          <w:spacing w:val="-4"/>
          <w:sz w:val="24"/>
        </w:rPr>
        <w:t> </w:t>
      </w:r>
      <w:r>
        <w:rPr>
          <w:sz w:val="24"/>
        </w:rPr>
        <w:t>requirement</w:t>
      </w:r>
      <w:r>
        <w:rPr>
          <w:spacing w:val="-2"/>
          <w:sz w:val="24"/>
        </w:rPr>
        <w:t> </w:t>
      </w:r>
      <w:r>
        <w:rPr>
          <w:sz w:val="24"/>
        </w:rPr>
        <w:t>in</w:t>
      </w:r>
      <w:r>
        <w:rPr>
          <w:spacing w:val="-2"/>
          <w:sz w:val="24"/>
        </w:rPr>
        <w:t> </w:t>
      </w:r>
      <w:r>
        <w:rPr>
          <w:sz w:val="24"/>
        </w:rPr>
        <w:t>general</w:t>
      </w:r>
      <w:r>
        <w:rPr>
          <w:spacing w:val="-2"/>
          <w:sz w:val="24"/>
        </w:rPr>
        <w:t> </w:t>
      </w:r>
      <w:r>
        <w:rPr>
          <w:sz w:val="24"/>
        </w:rPr>
        <w:t>education</w:t>
      </w:r>
      <w:r>
        <w:rPr>
          <w:spacing w:val="-4"/>
          <w:sz w:val="24"/>
        </w:rPr>
        <w:t> </w:t>
      </w:r>
      <w:r>
        <w:rPr>
          <w:sz w:val="24"/>
        </w:rPr>
        <w:t>be</w:t>
      </w:r>
      <w:r>
        <w:rPr>
          <w:spacing w:val="-5"/>
          <w:sz w:val="24"/>
        </w:rPr>
        <w:t> </w:t>
      </w:r>
      <w:r>
        <w:rPr>
          <w:sz w:val="24"/>
        </w:rPr>
        <w:t>changed</w:t>
      </w:r>
      <w:r>
        <w:rPr>
          <w:spacing w:val="-4"/>
          <w:sz w:val="24"/>
        </w:rPr>
        <w:t> </w:t>
      </w:r>
      <w:r>
        <w:rPr>
          <w:sz w:val="24"/>
        </w:rPr>
        <w:t>from</w:t>
      </w:r>
      <w:r>
        <w:rPr>
          <w:spacing w:val="-5"/>
          <w:sz w:val="24"/>
        </w:rPr>
        <w:t> </w:t>
      </w:r>
      <w:r>
        <w:rPr>
          <w:sz w:val="24"/>
        </w:rPr>
        <w:t>18</w:t>
      </w:r>
      <w:r>
        <w:rPr>
          <w:spacing w:val="-4"/>
          <w:sz w:val="24"/>
        </w:rPr>
        <w:t> </w:t>
      </w:r>
      <w:r>
        <w:rPr>
          <w:sz w:val="24"/>
        </w:rPr>
        <w:t>to 15 semester hours.</w:t>
      </w:r>
    </w:p>
    <w:p>
      <w:pPr>
        <w:pStyle w:val="BodyText"/>
        <w:spacing w:before="9"/>
        <w:rPr>
          <w:sz w:val="23"/>
        </w:rPr>
      </w:pPr>
    </w:p>
    <w:p>
      <w:pPr>
        <w:pStyle w:val="BodyText"/>
        <w:ind w:left="660" w:right="100"/>
      </w:pPr>
      <w:r>
        <w:rPr/>
        <w:t>The net effect of these recommendations would be to increase the general education requirement from 70 to 73 semester hours; to reduce the professional education requirement</w:t>
      </w:r>
      <w:r>
        <w:rPr>
          <w:spacing w:val="-4"/>
        </w:rPr>
        <w:t> </w:t>
      </w:r>
      <w:r>
        <w:rPr/>
        <w:t>from</w:t>
      </w:r>
      <w:r>
        <w:rPr>
          <w:spacing w:val="-5"/>
        </w:rPr>
        <w:t> </w:t>
      </w:r>
      <w:r>
        <w:rPr/>
        <w:t>59</w:t>
      </w:r>
      <w:r>
        <w:rPr>
          <w:spacing w:val="-4"/>
        </w:rPr>
        <w:t> </w:t>
      </w:r>
      <w:r>
        <w:rPr/>
        <w:t>to</w:t>
      </w:r>
      <w:r>
        <w:rPr>
          <w:spacing w:val="-4"/>
        </w:rPr>
        <w:t> </w:t>
      </w:r>
      <w:r>
        <w:rPr/>
        <w:t>49</w:t>
      </w:r>
      <w:r>
        <w:rPr>
          <w:spacing w:val="-2"/>
        </w:rPr>
        <w:t> </w:t>
      </w:r>
      <w:r>
        <w:rPr/>
        <w:t>semester</w:t>
      </w:r>
      <w:r>
        <w:rPr>
          <w:spacing w:val="-4"/>
        </w:rPr>
        <w:t> </w:t>
      </w:r>
      <w:r>
        <w:rPr/>
        <w:t>hours,</w:t>
      </w:r>
      <w:r>
        <w:rPr>
          <w:spacing w:val="-3"/>
        </w:rPr>
        <w:t> </w:t>
      </w:r>
      <w:r>
        <w:rPr/>
        <w:t>and</w:t>
      </w:r>
      <w:r>
        <w:rPr>
          <w:spacing w:val="-4"/>
        </w:rPr>
        <w:t> </w:t>
      </w:r>
      <w:r>
        <w:rPr/>
        <w:t>to</w:t>
      </w:r>
      <w:r>
        <w:rPr>
          <w:spacing w:val="-2"/>
        </w:rPr>
        <w:t> </w:t>
      </w:r>
      <w:r>
        <w:rPr/>
        <w:t>increase</w:t>
      </w:r>
      <w:r>
        <w:rPr>
          <w:spacing w:val="-5"/>
        </w:rPr>
        <w:t> </w:t>
      </w:r>
      <w:r>
        <w:rPr/>
        <w:t>electives</w:t>
      </w:r>
      <w:r>
        <w:rPr>
          <w:spacing w:val="-3"/>
        </w:rPr>
        <w:t> </w:t>
      </w:r>
      <w:r>
        <w:rPr/>
        <w:t>from</w:t>
      </w:r>
      <w:r>
        <w:rPr>
          <w:spacing w:val="-5"/>
        </w:rPr>
        <w:t> </w:t>
      </w:r>
      <w:r>
        <w:rPr/>
        <w:t>0</w:t>
      </w:r>
      <w:r>
        <w:rPr>
          <w:spacing w:val="-4"/>
        </w:rPr>
        <w:t> </w:t>
      </w:r>
      <w:r>
        <w:rPr/>
        <w:t>to</w:t>
      </w:r>
      <w:r>
        <w:rPr>
          <w:spacing w:val="-4"/>
        </w:rPr>
        <w:t> </w:t>
      </w:r>
      <w:r>
        <w:rPr/>
        <w:t>6</w:t>
      </w:r>
      <w:r>
        <w:rPr>
          <w:spacing w:val="-2"/>
        </w:rPr>
        <w:t> </w:t>
      </w:r>
      <w:r>
        <w:rPr/>
        <w:t>semester hours. The new program would, then, total 128 semester hours.</w:t>
      </w:r>
    </w:p>
    <w:sectPr>
      <w:pgSz w:w="12240" w:h="15840"/>
      <w:pgMar w:header="724" w:footer="1020" w:top="1380" w:bottom="1220" w:left="11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26912">
              <wp:simplePos x="0" y="0"/>
              <wp:positionH relativeFrom="page">
                <wp:posOffset>3809110</wp:posOffset>
              </wp:positionH>
              <wp:positionV relativeFrom="page">
                <wp:posOffset>9270769</wp:posOffset>
              </wp:positionV>
              <wp:extent cx="16700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005" cy="182245"/>
                      </a:xfrm>
                      <a:prstGeom prst="rect">
                        <a:avLst/>
                      </a:prstGeom>
                    </wps:spPr>
                    <wps:txbx>
                      <w:txbxContent>
                        <w:p>
                          <w:pPr>
                            <w:spacing w:before="13"/>
                            <w:ind w:left="60" w:right="0" w:firstLine="0"/>
                            <w:jc w:val="left"/>
                            <w:rPr>
                              <w:rFonts w:ascii="Arial"/>
                              <w:sz w:val="22"/>
                            </w:rPr>
                          </w:pPr>
                          <w:r>
                            <w:rPr>
                              <w:rFonts w:ascii="Arial"/>
                              <w:w w:val="100"/>
                              <w:sz w:val="22"/>
                            </w:rPr>
                            <w:fldChar w:fldCharType="begin"/>
                          </w:r>
                          <w:r>
                            <w:rPr>
                              <w:rFonts w:ascii="Arial"/>
                              <w:w w:val="100"/>
                              <w:sz w:val="22"/>
                            </w:rPr>
                            <w:instrText> PAGE </w:instrText>
                          </w:r>
                          <w:r>
                            <w:rPr>
                              <w:rFonts w:ascii="Arial"/>
                              <w:w w:val="100"/>
                              <w:sz w:val="22"/>
                            </w:rPr>
                            <w:fldChar w:fldCharType="separate"/>
                          </w:r>
                          <w:r>
                            <w:rPr>
                              <w:rFonts w:ascii="Arial"/>
                              <w:w w:val="100"/>
                              <w:sz w:val="22"/>
                            </w:rPr>
                            <w:t>1</w:t>
                          </w:r>
                          <w:r>
                            <w:rPr>
                              <w:rFonts w:ascii="Arial"/>
                              <w:w w:val="100"/>
                              <w:sz w:val="22"/>
                            </w:rPr>
                            <w:fldChar w:fldCharType="end"/>
                          </w:r>
                        </w:p>
                      </w:txbxContent>
                    </wps:txbx>
                    <wps:bodyPr wrap="square" lIns="0" tIns="0" rIns="0" bIns="0" rtlCol="0">
                      <a:noAutofit/>
                    </wps:bodyPr>
                  </wps:wsp>
                </a:graphicData>
              </a:graphic>
            </wp:anchor>
          </w:drawing>
        </mc:Choice>
        <mc:Fallback>
          <w:pict>
            <v:shape style="position:absolute;margin-left:299.929993pt;margin-top:729.981812pt;width:13.15pt;height:14.35pt;mso-position-horizontal-relative:page;mso-position-vertical-relative:page;z-index:-15789568" type="#_x0000_t202" id="docshape2" filled="false" stroked="false">
              <v:textbox inset="0,0,0,0">
                <w:txbxContent>
                  <w:p>
                    <w:pPr>
                      <w:spacing w:before="13"/>
                      <w:ind w:left="60" w:right="0" w:firstLine="0"/>
                      <w:jc w:val="left"/>
                      <w:rPr>
                        <w:rFonts w:ascii="Arial"/>
                        <w:sz w:val="22"/>
                      </w:rPr>
                    </w:pPr>
                    <w:r>
                      <w:rPr>
                        <w:rFonts w:ascii="Arial"/>
                        <w:w w:val="100"/>
                        <w:sz w:val="22"/>
                      </w:rPr>
                      <w:fldChar w:fldCharType="begin"/>
                    </w:r>
                    <w:r>
                      <w:rPr>
                        <w:rFonts w:ascii="Arial"/>
                        <w:w w:val="100"/>
                        <w:sz w:val="22"/>
                      </w:rPr>
                      <w:instrText> PAGE </w:instrText>
                    </w:r>
                    <w:r>
                      <w:rPr>
                        <w:rFonts w:ascii="Arial"/>
                        <w:w w:val="100"/>
                        <w:sz w:val="22"/>
                      </w:rPr>
                      <w:fldChar w:fldCharType="separate"/>
                    </w:r>
                    <w:r>
                      <w:rPr>
                        <w:rFonts w:ascii="Arial"/>
                        <w:w w:val="100"/>
                        <w:sz w:val="22"/>
                      </w:rPr>
                      <w:t>1</w:t>
                    </w:r>
                    <w:r>
                      <w:rPr>
                        <w:rFonts w:ascii="Arial"/>
                        <w:w w:val="10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26400">
              <wp:simplePos x="0" y="0"/>
              <wp:positionH relativeFrom="page">
                <wp:posOffset>6497573</wp:posOffset>
              </wp:positionH>
              <wp:positionV relativeFrom="page">
                <wp:posOffset>447113</wp:posOffset>
              </wp:positionV>
              <wp:extent cx="37655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76555" cy="182245"/>
                      </a:xfrm>
                      <a:prstGeom prst="rect">
                        <a:avLst/>
                      </a:prstGeom>
                    </wps:spPr>
                    <wps:txbx>
                      <w:txbxContent>
                        <w:p>
                          <w:pPr>
                            <w:spacing w:before="13"/>
                            <w:ind w:left="20" w:right="0" w:firstLine="0"/>
                            <w:jc w:val="left"/>
                            <w:rPr>
                              <w:rFonts w:ascii="Arial"/>
                              <w:sz w:val="22"/>
                            </w:rPr>
                          </w:pPr>
                          <w:r>
                            <w:rPr>
                              <w:rFonts w:ascii="Arial"/>
                              <w:spacing w:val="-2"/>
                              <w:sz w:val="22"/>
                            </w:rPr>
                            <w:t>95.24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619995pt;margin-top:35.205780pt;width:29.65pt;height:14.35pt;mso-position-horizontal-relative:page;mso-position-vertical-relative:page;z-index:-15790080" type="#_x0000_t202" id="docshape1" filled="false" stroked="false">
              <v:textbox inset="0,0,0,0">
                <w:txbxContent>
                  <w:p>
                    <w:pPr>
                      <w:spacing w:before="13"/>
                      <w:ind w:left="20" w:right="0" w:firstLine="0"/>
                      <w:jc w:val="left"/>
                      <w:rPr>
                        <w:rFonts w:ascii="Arial"/>
                        <w:sz w:val="22"/>
                      </w:rPr>
                    </w:pPr>
                    <w:r>
                      <w:rPr>
                        <w:rFonts w:ascii="Arial"/>
                        <w:spacing w:val="-2"/>
                        <w:sz w:val="22"/>
                      </w:rPr>
                      <w:t>95.24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4"/>
      <w:numFmt w:val="upperRoman"/>
      <w:lvlText w:val="%1."/>
      <w:lvlJc w:val="left"/>
      <w:pPr>
        <w:ind w:left="778" w:hanging="478"/>
        <w:jc w:val="left"/>
      </w:pPr>
      <w:rPr>
        <w:rFonts w:hint="default" w:ascii="Calibri" w:hAnsi="Calibri" w:eastAsia="Calibri" w:cs="Calibri"/>
        <w:b w:val="0"/>
        <w:bCs w:val="0"/>
        <w:i w:val="0"/>
        <w:iCs w:val="0"/>
        <w:spacing w:val="-1"/>
        <w:w w:val="100"/>
        <w:sz w:val="24"/>
        <w:szCs w:val="24"/>
        <w:lang w:val="en-US" w:eastAsia="en-US" w:bidi="ar-SA"/>
      </w:rPr>
    </w:lvl>
    <w:lvl w:ilvl="1">
      <w:start w:val="1"/>
      <w:numFmt w:val="decimal"/>
      <w:lvlText w:val="%2."/>
      <w:lvlJc w:val="left"/>
      <w:pPr>
        <w:ind w:left="1020"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1988" w:hanging="360"/>
      </w:pPr>
      <w:rPr>
        <w:rFonts w:hint="default"/>
        <w:lang w:val="en-US" w:eastAsia="en-US" w:bidi="ar-SA"/>
      </w:rPr>
    </w:lvl>
    <w:lvl w:ilvl="3">
      <w:start w:val="0"/>
      <w:numFmt w:val="bullet"/>
      <w:lvlText w:val="•"/>
      <w:lvlJc w:val="left"/>
      <w:pPr>
        <w:ind w:left="2957" w:hanging="360"/>
      </w:pPr>
      <w:rPr>
        <w:rFonts w:hint="default"/>
        <w:lang w:val="en-US" w:eastAsia="en-US" w:bidi="ar-SA"/>
      </w:rPr>
    </w:lvl>
    <w:lvl w:ilvl="4">
      <w:start w:val="0"/>
      <w:numFmt w:val="bullet"/>
      <w:lvlText w:val="•"/>
      <w:lvlJc w:val="left"/>
      <w:pPr>
        <w:ind w:left="3926" w:hanging="360"/>
      </w:pPr>
      <w:rPr>
        <w:rFonts w:hint="default"/>
        <w:lang w:val="en-US" w:eastAsia="en-US" w:bidi="ar-SA"/>
      </w:rPr>
    </w:lvl>
    <w:lvl w:ilvl="5">
      <w:start w:val="0"/>
      <w:numFmt w:val="bullet"/>
      <w:lvlText w:val="•"/>
      <w:lvlJc w:val="left"/>
      <w:pPr>
        <w:ind w:left="4895" w:hanging="360"/>
      </w:pPr>
      <w:rPr>
        <w:rFonts w:hint="default"/>
        <w:lang w:val="en-US" w:eastAsia="en-US" w:bidi="ar-SA"/>
      </w:rPr>
    </w:lvl>
    <w:lvl w:ilvl="6">
      <w:start w:val="0"/>
      <w:numFmt w:val="bullet"/>
      <w:lvlText w:val="•"/>
      <w:lvlJc w:val="left"/>
      <w:pPr>
        <w:ind w:left="5864" w:hanging="360"/>
      </w:pPr>
      <w:rPr>
        <w:rFonts w:hint="default"/>
        <w:lang w:val="en-US" w:eastAsia="en-US" w:bidi="ar-SA"/>
      </w:rPr>
    </w:lvl>
    <w:lvl w:ilvl="7">
      <w:start w:val="0"/>
      <w:numFmt w:val="bullet"/>
      <w:lvlText w:val="•"/>
      <w:lvlJc w:val="left"/>
      <w:pPr>
        <w:ind w:left="6833" w:hanging="360"/>
      </w:pPr>
      <w:rPr>
        <w:rFonts w:hint="default"/>
        <w:lang w:val="en-US" w:eastAsia="en-US" w:bidi="ar-SA"/>
      </w:rPr>
    </w:lvl>
    <w:lvl w:ilvl="8">
      <w:start w:val="0"/>
      <w:numFmt w:val="bullet"/>
      <w:lvlText w:val="•"/>
      <w:lvlJc w:val="left"/>
      <w:pPr>
        <w:ind w:left="7802" w:hanging="360"/>
      </w:pPr>
      <w:rPr>
        <w:rFonts w:hint="default"/>
        <w:lang w:val="en-US" w:eastAsia="en-US" w:bidi="ar-SA"/>
      </w:rPr>
    </w:lvl>
  </w:abstractNum>
  <w:abstractNum w:abstractNumId="1">
    <w:multiLevelType w:val="hybridMultilevel"/>
    <w:lvl w:ilvl="0">
      <w:start w:val="1"/>
      <w:numFmt w:val="decimal"/>
      <w:lvlText w:val="%1."/>
      <w:lvlJc w:val="left"/>
      <w:pPr>
        <w:ind w:left="102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892" w:hanging="360"/>
      </w:pPr>
      <w:rPr>
        <w:rFonts w:hint="default"/>
        <w:lang w:val="en-US" w:eastAsia="en-US" w:bidi="ar-SA"/>
      </w:rPr>
    </w:lvl>
    <w:lvl w:ilvl="2">
      <w:start w:val="0"/>
      <w:numFmt w:val="bullet"/>
      <w:lvlText w:val="•"/>
      <w:lvlJc w:val="left"/>
      <w:pPr>
        <w:ind w:left="27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508"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52" w:hanging="360"/>
      </w:pPr>
      <w:rPr>
        <w:rFonts w:hint="default"/>
        <w:lang w:val="en-US" w:eastAsia="en-US" w:bidi="ar-SA"/>
      </w:rPr>
    </w:lvl>
    <w:lvl w:ilvl="7">
      <w:start w:val="0"/>
      <w:numFmt w:val="bullet"/>
      <w:lvlText w:val="•"/>
      <w:lvlJc w:val="left"/>
      <w:pPr>
        <w:ind w:left="7124" w:hanging="360"/>
      </w:pPr>
      <w:rPr>
        <w:rFonts w:hint="default"/>
        <w:lang w:val="en-US" w:eastAsia="en-US" w:bidi="ar-SA"/>
      </w:rPr>
    </w:lvl>
    <w:lvl w:ilvl="8">
      <w:start w:val="0"/>
      <w:numFmt w:val="bullet"/>
      <w:lvlText w:val="•"/>
      <w:lvlJc w:val="left"/>
      <w:pPr>
        <w:ind w:left="7996" w:hanging="360"/>
      </w:pPr>
      <w:rPr>
        <w:rFonts w:hint="default"/>
        <w:lang w:val="en-US" w:eastAsia="en-US" w:bidi="ar-SA"/>
      </w:rPr>
    </w:lvl>
  </w:abstractNum>
  <w:abstractNum w:abstractNumId="0">
    <w:multiLevelType w:val="hybridMultilevel"/>
    <w:lvl w:ilvl="0">
      <w:start w:val="1"/>
      <w:numFmt w:val="upperRoman"/>
      <w:lvlText w:val="%1."/>
      <w:lvlJc w:val="left"/>
      <w:pPr>
        <w:ind w:left="660" w:hanging="481"/>
        <w:jc w:val="right"/>
      </w:pPr>
      <w:rPr>
        <w:rFonts w:hint="default" w:ascii="Calibri" w:hAnsi="Calibri" w:eastAsia="Calibri" w:cs="Calibri"/>
        <w:b w:val="0"/>
        <w:bCs w:val="0"/>
        <w:i w:val="0"/>
        <w:iCs w:val="0"/>
        <w:spacing w:val="-1"/>
        <w:w w:val="100"/>
        <w:sz w:val="24"/>
        <w:szCs w:val="24"/>
        <w:lang w:val="en-US" w:eastAsia="en-US" w:bidi="ar-SA"/>
      </w:rPr>
    </w:lvl>
    <w:lvl w:ilvl="1">
      <w:start w:val="1"/>
      <w:numFmt w:val="decimal"/>
      <w:lvlText w:val="%2."/>
      <w:lvlJc w:val="left"/>
      <w:pPr>
        <w:ind w:left="1020" w:hanging="360"/>
        <w:jc w:val="left"/>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1988" w:hanging="360"/>
      </w:pPr>
      <w:rPr>
        <w:rFonts w:hint="default"/>
        <w:lang w:val="en-US" w:eastAsia="en-US" w:bidi="ar-SA"/>
      </w:rPr>
    </w:lvl>
    <w:lvl w:ilvl="3">
      <w:start w:val="0"/>
      <w:numFmt w:val="bullet"/>
      <w:lvlText w:val="•"/>
      <w:lvlJc w:val="left"/>
      <w:pPr>
        <w:ind w:left="2957" w:hanging="360"/>
      </w:pPr>
      <w:rPr>
        <w:rFonts w:hint="default"/>
        <w:lang w:val="en-US" w:eastAsia="en-US" w:bidi="ar-SA"/>
      </w:rPr>
    </w:lvl>
    <w:lvl w:ilvl="4">
      <w:start w:val="0"/>
      <w:numFmt w:val="bullet"/>
      <w:lvlText w:val="•"/>
      <w:lvlJc w:val="left"/>
      <w:pPr>
        <w:ind w:left="3926" w:hanging="360"/>
      </w:pPr>
      <w:rPr>
        <w:rFonts w:hint="default"/>
        <w:lang w:val="en-US" w:eastAsia="en-US" w:bidi="ar-SA"/>
      </w:rPr>
    </w:lvl>
    <w:lvl w:ilvl="5">
      <w:start w:val="0"/>
      <w:numFmt w:val="bullet"/>
      <w:lvlText w:val="•"/>
      <w:lvlJc w:val="left"/>
      <w:pPr>
        <w:ind w:left="4895" w:hanging="360"/>
      </w:pPr>
      <w:rPr>
        <w:rFonts w:hint="default"/>
        <w:lang w:val="en-US" w:eastAsia="en-US" w:bidi="ar-SA"/>
      </w:rPr>
    </w:lvl>
    <w:lvl w:ilvl="6">
      <w:start w:val="0"/>
      <w:numFmt w:val="bullet"/>
      <w:lvlText w:val="•"/>
      <w:lvlJc w:val="left"/>
      <w:pPr>
        <w:ind w:left="5864" w:hanging="360"/>
      </w:pPr>
      <w:rPr>
        <w:rFonts w:hint="default"/>
        <w:lang w:val="en-US" w:eastAsia="en-US" w:bidi="ar-SA"/>
      </w:rPr>
    </w:lvl>
    <w:lvl w:ilvl="7">
      <w:start w:val="0"/>
      <w:numFmt w:val="bullet"/>
      <w:lvlText w:val="•"/>
      <w:lvlJc w:val="left"/>
      <w:pPr>
        <w:ind w:left="6833" w:hanging="360"/>
      </w:pPr>
      <w:rPr>
        <w:rFonts w:hint="default"/>
        <w:lang w:val="en-US" w:eastAsia="en-US" w:bidi="ar-SA"/>
      </w:rPr>
    </w:lvl>
    <w:lvl w:ilvl="8">
      <w:start w:val="0"/>
      <w:numFmt w:val="bullet"/>
      <w:lvlText w:val="•"/>
      <w:lvlJc w:val="left"/>
      <w:pPr>
        <w:ind w:left="780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Title" w:type="paragraph">
    <w:name w:val="Title"/>
    <w:basedOn w:val="Normal"/>
    <w:uiPriority w:val="1"/>
    <w:qFormat/>
    <w:pPr>
      <w:ind w:left="753" w:right="526"/>
      <w:jc w:val="center"/>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10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Karnopp, Jennifer Reigeluth</dc:creator>
  <dcterms:created xsi:type="dcterms:W3CDTF">2023-12-05T17:45:01Z</dcterms:created>
  <dcterms:modified xsi:type="dcterms:W3CDTF">2023-12-05T17:45:01Z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Word 2016</vt:lpwstr>
  </property>
  <property fmtid="{D5CDD505-2E9C-101B-9397-08002B2CF9AE}" pid="4" name="LastSaved">
    <vt:filetime>2023-12-05T00:00:00Z</vt:filetime>
  </property>
  <property fmtid="{D5CDD505-2E9C-101B-9397-08002B2CF9AE}" pid="5" name="Producer">
    <vt:lpwstr>Microsoft® Word 2016</vt:lpwstr>
  </property>
</Properties>
</file>