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4"/>
        <w:ind w:right="113"/>
        <w:jc w:val="right"/>
      </w:pPr>
      <w:r>
        <w:rPr/>
        <mc:AlternateContent>
          <mc:Choice Requires="wps">
            <w:drawing>
              <wp:anchor distT="0" distB="0" distL="0" distR="0" allowOverlap="1" layoutInCell="1" locked="0" behindDoc="0" simplePos="0" relativeHeight="15728640">
                <wp:simplePos x="0" y="0"/>
                <wp:positionH relativeFrom="page">
                  <wp:posOffset>7767319</wp:posOffset>
                </wp:positionH>
                <wp:positionV relativeFrom="page">
                  <wp:posOffset>4135513</wp:posOffset>
                </wp:positionV>
                <wp:extent cx="1270" cy="4445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444500"/>
                        </a:xfrm>
                        <a:custGeom>
                          <a:avLst/>
                          <a:gdLst/>
                          <a:ahLst/>
                          <a:cxnLst/>
                          <a:rect l="l" t="t" r="r" b="b"/>
                          <a:pathLst>
                            <a:path w="0" h="444500">
                              <a:moveTo>
                                <a:pt x="0" y="444487"/>
                              </a:moveTo>
                              <a:lnTo>
                                <a:pt x="0" y="0"/>
                              </a:lnTo>
                            </a:path>
                          </a:pathLst>
                        </a:custGeom>
                        <a:ln w="888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8640" from="611.599976pt,360.630012pt" to="611.599976pt,325.631012pt" stroked="true" strokeweight=".69995pt" strokecolor="#000000">
                <v:stroke dashstyle="solid"/>
                <w10:wrap type="none"/>
              </v:line>
            </w:pict>
          </mc:Fallback>
        </mc:AlternateContent>
      </w:r>
      <w:r>
        <w:rPr>
          <w:spacing w:val="-2"/>
        </w:rPr>
        <w:t>99.32</w:t>
      </w:r>
    </w:p>
    <w:p>
      <w:pPr>
        <w:pStyle w:val="BodyText"/>
        <w:rPr>
          <w:sz w:val="20"/>
        </w:rPr>
      </w:pPr>
    </w:p>
    <w:p>
      <w:pPr>
        <w:pStyle w:val="BodyText"/>
        <w:rPr>
          <w:sz w:val="20"/>
        </w:rPr>
      </w:pPr>
    </w:p>
    <w:p>
      <w:pPr>
        <w:pStyle w:val="BodyText"/>
        <w:rPr>
          <w:sz w:val="23"/>
        </w:rPr>
      </w:pPr>
    </w:p>
    <w:p>
      <w:pPr>
        <w:pStyle w:val="Title"/>
      </w:pPr>
      <w:r>
        <w:rPr/>
        <w:t>IU</w:t>
      </w:r>
      <w:r>
        <w:rPr>
          <w:spacing w:val="-10"/>
        </w:rPr>
        <w:t> </w:t>
      </w:r>
      <w:r>
        <w:rPr/>
        <w:t>Bloomington</w:t>
      </w:r>
      <w:r>
        <w:rPr>
          <w:spacing w:val="-10"/>
        </w:rPr>
        <w:t> </w:t>
      </w:r>
      <w:r>
        <w:rPr/>
        <w:t>School</w:t>
      </w:r>
      <w:r>
        <w:rPr>
          <w:spacing w:val="-10"/>
        </w:rPr>
        <w:t> </w:t>
      </w:r>
      <w:r>
        <w:rPr/>
        <w:t>of</w:t>
      </w:r>
      <w:r>
        <w:rPr>
          <w:spacing w:val="-9"/>
        </w:rPr>
        <w:t> </w:t>
      </w:r>
      <w:r>
        <w:rPr/>
        <w:t>Education Change in Admissions Policy</w:t>
      </w:r>
    </w:p>
    <w:p>
      <w:pPr>
        <w:pStyle w:val="BodyText"/>
        <w:rPr>
          <w:b/>
          <w:sz w:val="26"/>
        </w:rPr>
      </w:pPr>
    </w:p>
    <w:p>
      <w:pPr>
        <w:pStyle w:val="BodyText"/>
        <w:spacing w:before="202"/>
        <w:ind w:left="100" w:right="116"/>
      </w:pPr>
      <w:r>
        <w:rPr/>
        <w:t>As</w:t>
      </w:r>
      <w:r>
        <w:rPr>
          <w:spacing w:val="-2"/>
        </w:rPr>
        <w:t> </w:t>
      </w:r>
      <w:r>
        <w:rPr/>
        <w:t>part</w:t>
      </w:r>
      <w:r>
        <w:rPr>
          <w:spacing w:val="-1"/>
        </w:rPr>
        <w:t> </w:t>
      </w:r>
      <w:r>
        <w:rPr/>
        <w:t>of</w:t>
      </w:r>
      <w:r>
        <w:rPr>
          <w:spacing w:val="-4"/>
        </w:rPr>
        <w:t> </w:t>
      </w:r>
      <w:r>
        <w:rPr/>
        <w:t>policy</w:t>
      </w:r>
      <w:r>
        <w:rPr>
          <w:spacing w:val="-4"/>
        </w:rPr>
        <w:t> </w:t>
      </w:r>
      <w:r>
        <w:rPr/>
        <w:t>of</w:t>
      </w:r>
      <w:r>
        <w:rPr>
          <w:spacing w:val="-2"/>
        </w:rPr>
        <w:t> </w:t>
      </w:r>
      <w:r>
        <w:rPr/>
        <w:t>checks</w:t>
      </w:r>
      <w:r>
        <w:rPr>
          <w:spacing w:val="-4"/>
        </w:rPr>
        <w:t> </w:t>
      </w:r>
      <w:r>
        <w:rPr/>
        <w:t>and</w:t>
      </w:r>
      <w:r>
        <w:rPr>
          <w:spacing w:val="-2"/>
        </w:rPr>
        <w:t> </w:t>
      </w:r>
      <w:r>
        <w:rPr/>
        <w:t>balances,</w:t>
      </w:r>
      <w:r>
        <w:rPr>
          <w:spacing w:val="-4"/>
        </w:rPr>
        <w:t> </w:t>
      </w:r>
      <w:r>
        <w:rPr/>
        <w:t>the</w:t>
      </w:r>
      <w:r>
        <w:rPr>
          <w:spacing w:val="-2"/>
        </w:rPr>
        <w:t> </w:t>
      </w:r>
      <w:r>
        <w:rPr/>
        <w:t>Associate</w:t>
      </w:r>
      <w:r>
        <w:rPr>
          <w:spacing w:val="-4"/>
        </w:rPr>
        <w:t> </w:t>
      </w:r>
      <w:r>
        <w:rPr/>
        <w:t>Dean</w:t>
      </w:r>
      <w:r>
        <w:rPr>
          <w:spacing w:val="-2"/>
        </w:rPr>
        <w:t> </w:t>
      </w:r>
      <w:r>
        <w:rPr/>
        <w:t>for Graduate</w:t>
      </w:r>
      <w:r>
        <w:rPr>
          <w:spacing w:val="-2"/>
        </w:rPr>
        <w:t> </w:t>
      </w:r>
      <w:r>
        <w:rPr/>
        <w:t>Studies</w:t>
      </w:r>
      <w:r>
        <w:rPr>
          <w:spacing w:val="-3"/>
        </w:rPr>
        <w:t> </w:t>
      </w:r>
      <w:r>
        <w:rPr/>
        <w:t>will</w:t>
      </w:r>
      <w:r>
        <w:rPr>
          <w:spacing w:val="-3"/>
        </w:rPr>
        <w:t> </w:t>
      </w:r>
      <w:r>
        <w:rPr/>
        <w:t>report</w:t>
      </w:r>
      <w:r>
        <w:rPr>
          <w:spacing w:val="-1"/>
        </w:rPr>
        <w:t> </w:t>
      </w:r>
      <w:r>
        <w:rPr/>
        <w:t>annually</w:t>
      </w:r>
      <w:r>
        <w:rPr>
          <w:spacing w:val="-5"/>
        </w:rPr>
        <w:t> </w:t>
      </w:r>
      <w:r>
        <w:rPr/>
        <w:t>to the Committee on the number and kinds of cases that he/she has decided and the steps he/she taken to work with the graduate faculty to ensure that students with marginal credentials who were admitted are being monitored, and adequately advised and mentored. This annual report will be the occasion for the Associate Dean of Graduate Studies and the Committee to jointly review and evaluate the rationale and procedures</w:t>
      </w:r>
      <w:r>
        <w:rPr>
          <w:spacing w:val="-3"/>
        </w:rPr>
        <w:t> </w:t>
      </w:r>
      <w:r>
        <w:rPr/>
        <w:t>used</w:t>
      </w:r>
      <w:r>
        <w:rPr>
          <w:spacing w:val="-3"/>
        </w:rPr>
        <w:t> </w:t>
      </w:r>
      <w:r>
        <w:rPr/>
        <w:t>by</w:t>
      </w:r>
      <w:r>
        <w:rPr>
          <w:spacing w:val="-5"/>
        </w:rPr>
        <w:t> </w:t>
      </w:r>
      <w:r>
        <w:rPr/>
        <w:t>the</w:t>
      </w:r>
      <w:r>
        <w:rPr>
          <w:spacing w:val="-3"/>
        </w:rPr>
        <w:t> </w:t>
      </w:r>
      <w:r>
        <w:rPr/>
        <w:t>Associate</w:t>
      </w:r>
      <w:r>
        <w:rPr>
          <w:spacing w:val="-2"/>
        </w:rPr>
        <w:t> </w:t>
      </w:r>
      <w:r>
        <w:rPr/>
        <w:t>Dean</w:t>
      </w:r>
      <w:r>
        <w:rPr>
          <w:spacing w:val="-3"/>
        </w:rPr>
        <w:t> </w:t>
      </w:r>
      <w:r>
        <w:rPr/>
        <w:t>in</w:t>
      </w:r>
      <w:r>
        <w:rPr>
          <w:spacing w:val="-3"/>
        </w:rPr>
        <w:t> </w:t>
      </w:r>
      <w:r>
        <w:rPr/>
        <w:t>making</w:t>
      </w:r>
      <w:r>
        <w:rPr>
          <w:spacing w:val="-4"/>
        </w:rPr>
        <w:t> </w:t>
      </w:r>
      <w:r>
        <w:rPr/>
        <w:t>decisions</w:t>
      </w:r>
      <w:r>
        <w:rPr>
          <w:spacing w:val="-2"/>
        </w:rPr>
        <w:t> </w:t>
      </w:r>
      <w:r>
        <w:rPr/>
        <w:t>about</w:t>
      </w:r>
      <w:r>
        <w:rPr>
          <w:spacing w:val="-2"/>
        </w:rPr>
        <w:t> </w:t>
      </w:r>
      <w:r>
        <w:rPr/>
        <w:t>students</w:t>
      </w:r>
      <w:r>
        <w:rPr>
          <w:spacing w:val="-2"/>
        </w:rPr>
        <w:t> </w:t>
      </w:r>
      <w:r>
        <w:rPr/>
        <w:t>who</w:t>
      </w:r>
      <w:r>
        <w:rPr>
          <w:spacing w:val="-3"/>
        </w:rPr>
        <w:t> </w:t>
      </w:r>
      <w:r>
        <w:rPr/>
        <w:t>fail</w:t>
      </w:r>
      <w:r>
        <w:rPr>
          <w:spacing w:val="-5"/>
        </w:rPr>
        <w:t> </w:t>
      </w:r>
      <w:r>
        <w:rPr/>
        <w:t>to</w:t>
      </w:r>
      <w:r>
        <w:rPr>
          <w:spacing w:val="-3"/>
        </w:rPr>
        <w:t> </w:t>
      </w:r>
      <w:r>
        <w:rPr/>
        <w:t>meet</w:t>
      </w:r>
      <w:r>
        <w:rPr>
          <w:spacing w:val="-1"/>
        </w:rPr>
        <w:t> </w:t>
      </w:r>
      <w:r>
        <w:rPr>
          <w:spacing w:val="-2"/>
        </w:rPr>
        <w:t>benchmarks.</w:t>
      </w:r>
    </w:p>
    <w:p>
      <w:pPr>
        <w:pStyle w:val="BodyText"/>
      </w:pPr>
    </w:p>
    <w:p>
      <w:pPr>
        <w:pStyle w:val="BodyText"/>
        <w:ind w:left="100" w:right="116"/>
      </w:pPr>
      <w:r>
        <w:rPr/>
        <w:t>The</w:t>
      </w:r>
      <w:r>
        <w:rPr>
          <w:spacing w:val="-4"/>
        </w:rPr>
        <w:t> </w:t>
      </w:r>
      <w:r>
        <w:rPr/>
        <w:t>current</w:t>
      </w:r>
      <w:r>
        <w:rPr>
          <w:spacing w:val="-1"/>
        </w:rPr>
        <w:t> </w:t>
      </w:r>
      <w:r>
        <w:rPr/>
        <w:t>policy</w:t>
      </w:r>
      <w:r>
        <w:rPr>
          <w:spacing w:val="-4"/>
        </w:rPr>
        <w:t> </w:t>
      </w:r>
      <w:r>
        <w:rPr/>
        <w:t>of</w:t>
      </w:r>
      <w:r>
        <w:rPr>
          <w:spacing w:val="-2"/>
        </w:rPr>
        <w:t> </w:t>
      </w:r>
      <w:r>
        <w:rPr/>
        <w:t>requiring</w:t>
      </w:r>
      <w:r>
        <w:rPr>
          <w:spacing w:val="-5"/>
        </w:rPr>
        <w:t> </w:t>
      </w:r>
      <w:r>
        <w:rPr/>
        <w:t>program</w:t>
      </w:r>
      <w:r>
        <w:rPr>
          <w:spacing w:val="-3"/>
        </w:rPr>
        <w:t> </w:t>
      </w:r>
      <w:r>
        <w:rPr/>
        <w:t>area</w:t>
      </w:r>
      <w:r>
        <w:rPr>
          <w:spacing w:val="-2"/>
        </w:rPr>
        <w:t> </w:t>
      </w:r>
      <w:r>
        <w:rPr/>
        <w:t>faculty</w:t>
      </w:r>
      <w:r>
        <w:rPr>
          <w:spacing w:val="-5"/>
        </w:rPr>
        <w:t> </w:t>
      </w:r>
      <w:r>
        <w:rPr/>
        <w:t>to</w:t>
      </w:r>
      <w:r>
        <w:rPr>
          <w:spacing w:val="-5"/>
        </w:rPr>
        <w:t> </w:t>
      </w:r>
      <w:r>
        <w:rPr/>
        <w:t>submit</w:t>
      </w:r>
      <w:r>
        <w:rPr>
          <w:spacing w:val="-1"/>
        </w:rPr>
        <w:t> </w:t>
      </w:r>
      <w:r>
        <w:rPr/>
        <w:t>a</w:t>
      </w:r>
      <w:r>
        <w:rPr>
          <w:spacing w:val="-2"/>
        </w:rPr>
        <w:t> </w:t>
      </w:r>
      <w:r>
        <w:rPr/>
        <w:t>brief</w:t>
      </w:r>
      <w:r>
        <w:rPr>
          <w:spacing w:val="-2"/>
        </w:rPr>
        <w:t> </w:t>
      </w:r>
      <w:r>
        <w:rPr/>
        <w:t>memorandum</w:t>
      </w:r>
      <w:r>
        <w:rPr>
          <w:spacing w:val="-6"/>
        </w:rPr>
        <w:t> </w:t>
      </w:r>
      <w:r>
        <w:rPr/>
        <w:t>justifying</w:t>
      </w:r>
      <w:r>
        <w:rPr>
          <w:spacing w:val="-5"/>
        </w:rPr>
        <w:t> </w:t>
      </w:r>
      <w:r>
        <w:rPr/>
        <w:t>admission for applicants that fail to meet benchmark(s) is generally useful to the Associate Dean. The Associate Dean</w:t>
      </w:r>
      <w:r>
        <w:rPr>
          <w:spacing w:val="-1"/>
        </w:rPr>
        <w:t> </w:t>
      </w:r>
      <w:r>
        <w:rPr/>
        <w:t>will assume</w:t>
      </w:r>
      <w:r>
        <w:rPr>
          <w:spacing w:val="-1"/>
        </w:rPr>
        <w:t> </w:t>
      </w:r>
      <w:r>
        <w:rPr/>
        <w:t>the</w:t>
      </w:r>
      <w:r>
        <w:rPr>
          <w:spacing w:val="-3"/>
        </w:rPr>
        <w:t> </w:t>
      </w:r>
      <w:r>
        <w:rPr/>
        <w:t>responsibility</w:t>
      </w:r>
      <w:r>
        <w:rPr>
          <w:spacing w:val="-4"/>
        </w:rPr>
        <w:t> </w:t>
      </w:r>
      <w:r>
        <w:rPr/>
        <w:t>of</w:t>
      </w:r>
      <w:r>
        <w:rPr>
          <w:spacing w:val="-3"/>
        </w:rPr>
        <w:t> </w:t>
      </w:r>
      <w:r>
        <w:rPr/>
        <w:t>suggesting</w:t>
      </w:r>
      <w:r>
        <w:rPr>
          <w:spacing w:val="-4"/>
        </w:rPr>
        <w:t> </w:t>
      </w:r>
      <w:r>
        <w:rPr/>
        <w:t>changes</w:t>
      </w:r>
      <w:r>
        <w:rPr>
          <w:spacing w:val="-1"/>
        </w:rPr>
        <w:t> </w:t>
      </w:r>
      <w:r>
        <w:rPr/>
        <w:t>in</w:t>
      </w:r>
      <w:r>
        <w:rPr>
          <w:spacing w:val="-1"/>
        </w:rPr>
        <w:t> </w:t>
      </w:r>
      <w:r>
        <w:rPr/>
        <w:t>the</w:t>
      </w:r>
      <w:r>
        <w:rPr>
          <w:spacing w:val="-1"/>
        </w:rPr>
        <w:t> </w:t>
      </w:r>
      <w:r>
        <w:rPr/>
        <w:t>content of</w:t>
      </w:r>
      <w:r>
        <w:rPr>
          <w:spacing w:val="-1"/>
        </w:rPr>
        <w:t> </w:t>
      </w:r>
      <w:r>
        <w:rPr/>
        <w:t>the memorandum</w:t>
      </w:r>
      <w:r>
        <w:rPr>
          <w:spacing w:val="-5"/>
        </w:rPr>
        <w:t> </w:t>
      </w:r>
      <w:r>
        <w:rPr/>
        <w:t>that would be helpful in deliberating an admission decision.</w:t>
      </w:r>
    </w:p>
    <w:p>
      <w:pPr>
        <w:pStyle w:val="BodyText"/>
        <w:spacing w:before="1"/>
      </w:pPr>
    </w:p>
    <w:p>
      <w:pPr>
        <w:pStyle w:val="BodyText"/>
        <w:ind w:left="100" w:right="116"/>
      </w:pPr>
      <w:r>
        <w:rPr/>
        <w:t>This</w:t>
      </w:r>
      <w:r>
        <w:rPr>
          <w:spacing w:val="-1"/>
        </w:rPr>
        <w:t> </w:t>
      </w:r>
      <w:r>
        <w:rPr/>
        <w:t>change</w:t>
      </w:r>
      <w:r>
        <w:rPr>
          <w:spacing w:val="-1"/>
        </w:rPr>
        <w:t> </w:t>
      </w:r>
      <w:r>
        <w:rPr/>
        <w:t>in</w:t>
      </w:r>
      <w:r>
        <w:rPr>
          <w:spacing w:val="-4"/>
        </w:rPr>
        <w:t> </w:t>
      </w:r>
      <w:r>
        <w:rPr/>
        <w:t>policy</w:t>
      </w:r>
      <w:r>
        <w:rPr>
          <w:spacing w:val="-3"/>
        </w:rPr>
        <w:t> </w:t>
      </w:r>
      <w:r>
        <w:rPr/>
        <w:t>will</w:t>
      </w:r>
      <w:r>
        <w:rPr>
          <w:spacing w:val="-2"/>
        </w:rPr>
        <w:t> </w:t>
      </w:r>
      <w:r>
        <w:rPr/>
        <w:t>be accompanied</w:t>
      </w:r>
      <w:r>
        <w:rPr>
          <w:spacing w:val="-1"/>
        </w:rPr>
        <w:t> </w:t>
      </w:r>
      <w:r>
        <w:rPr/>
        <w:t>by</w:t>
      </w:r>
      <w:r>
        <w:rPr>
          <w:spacing w:val="-3"/>
        </w:rPr>
        <w:t> </w:t>
      </w:r>
      <w:r>
        <w:rPr/>
        <w:t>sustained,</w:t>
      </w:r>
      <w:r>
        <w:rPr>
          <w:spacing w:val="-1"/>
        </w:rPr>
        <w:t> </w:t>
      </w:r>
      <w:r>
        <w:rPr/>
        <w:t>documented</w:t>
      </w:r>
      <w:r>
        <w:rPr>
          <w:spacing w:val="-1"/>
        </w:rPr>
        <w:t> </w:t>
      </w:r>
      <w:r>
        <w:rPr/>
        <w:t>efforts</w:t>
      </w:r>
      <w:r>
        <w:rPr>
          <w:spacing w:val="-3"/>
        </w:rPr>
        <w:t> </w:t>
      </w:r>
      <w:r>
        <w:rPr/>
        <w:t>on</w:t>
      </w:r>
      <w:r>
        <w:rPr>
          <w:spacing w:val="-1"/>
        </w:rPr>
        <w:t> </w:t>
      </w:r>
      <w:r>
        <w:rPr/>
        <w:t>the</w:t>
      </w:r>
      <w:r>
        <w:rPr>
          <w:spacing w:val="-1"/>
        </w:rPr>
        <w:t> </w:t>
      </w:r>
      <w:r>
        <w:rPr/>
        <w:t>part of</w:t>
      </w:r>
      <w:r>
        <w:rPr>
          <w:spacing w:val="-1"/>
        </w:rPr>
        <w:t> </w:t>
      </w:r>
      <w:r>
        <w:rPr/>
        <w:t>the</w:t>
      </w:r>
      <w:r>
        <w:rPr>
          <w:spacing w:val="-1"/>
        </w:rPr>
        <w:t> </w:t>
      </w:r>
      <w:r>
        <w:rPr/>
        <w:t>Associate Dean</w:t>
      </w:r>
      <w:r>
        <w:rPr>
          <w:spacing w:val="-2"/>
        </w:rPr>
        <w:t> </w:t>
      </w:r>
      <w:r>
        <w:rPr/>
        <w:t>to</w:t>
      </w:r>
      <w:r>
        <w:rPr>
          <w:spacing w:val="-5"/>
        </w:rPr>
        <w:t> </w:t>
      </w:r>
      <w:r>
        <w:rPr/>
        <w:t>encourage,</w:t>
      </w:r>
      <w:r>
        <w:rPr>
          <w:spacing w:val="-2"/>
        </w:rPr>
        <w:t> </w:t>
      </w:r>
      <w:r>
        <w:rPr/>
        <w:t>promote,</w:t>
      </w:r>
      <w:r>
        <w:rPr>
          <w:spacing w:val="-2"/>
        </w:rPr>
        <w:t> </w:t>
      </w:r>
      <w:r>
        <w:rPr/>
        <w:t>and</w:t>
      </w:r>
      <w:r>
        <w:rPr>
          <w:spacing w:val="-5"/>
        </w:rPr>
        <w:t> </w:t>
      </w:r>
      <w:r>
        <w:rPr/>
        <w:t>facilitate</w:t>
      </w:r>
      <w:r>
        <w:rPr>
          <w:spacing w:val="-2"/>
        </w:rPr>
        <w:t> </w:t>
      </w:r>
      <w:r>
        <w:rPr/>
        <w:t>discussion</w:t>
      </w:r>
      <w:r>
        <w:rPr>
          <w:spacing w:val="-5"/>
        </w:rPr>
        <w:t> </w:t>
      </w:r>
      <w:r>
        <w:rPr/>
        <w:t>of</w:t>
      </w:r>
      <w:r>
        <w:rPr>
          <w:spacing w:val="-2"/>
        </w:rPr>
        <w:t> </w:t>
      </w:r>
      <w:r>
        <w:rPr/>
        <w:t>admissions</w:t>
      </w:r>
      <w:r>
        <w:rPr>
          <w:spacing w:val="-2"/>
        </w:rPr>
        <w:t> </w:t>
      </w:r>
      <w:r>
        <w:rPr/>
        <w:t>decisions</w:t>
      </w:r>
      <w:r>
        <w:rPr>
          <w:spacing w:val="-4"/>
        </w:rPr>
        <w:t> </w:t>
      </w:r>
      <w:r>
        <w:rPr/>
        <w:t>across</w:t>
      </w:r>
      <w:r>
        <w:rPr>
          <w:spacing w:val="-1"/>
        </w:rPr>
        <w:t> </w:t>
      </w:r>
      <w:r>
        <w:rPr/>
        <w:t>the</w:t>
      </w:r>
      <w:r>
        <w:rPr>
          <w:spacing w:val="-2"/>
        </w:rPr>
        <w:t> </w:t>
      </w:r>
      <w:r>
        <w:rPr/>
        <w:t>faculty</w:t>
      </w:r>
      <w:r>
        <w:rPr>
          <w:spacing w:val="-5"/>
        </w:rPr>
        <w:t> </w:t>
      </w:r>
      <w:r>
        <w:rPr/>
        <w:t>within</w:t>
      </w:r>
      <w:r>
        <w:rPr>
          <w:spacing w:val="-5"/>
        </w:rPr>
        <w:t> </w:t>
      </w:r>
      <w:r>
        <w:rPr/>
        <w:t>a given program area, and to encourage faculty to maintain an active role in mentoring and advising. One such effort is to provide chairs and program coordinators with a report each semester on conditional </w:t>
      </w:r>
      <w:r>
        <w:rPr>
          <w:spacing w:val="-2"/>
        </w:rPr>
        <w:t>admits.</w:t>
      </w:r>
    </w:p>
    <w:p>
      <w:pPr>
        <w:pStyle w:val="BodyText"/>
        <w:spacing w:before="1"/>
      </w:pPr>
    </w:p>
    <w:p>
      <w:pPr>
        <w:pStyle w:val="BodyText"/>
        <w:ind w:left="100" w:right="116"/>
      </w:pPr>
      <w:r>
        <w:rPr/>
        <w:t>The</w:t>
      </w:r>
      <w:r>
        <w:rPr>
          <w:spacing w:val="-3"/>
        </w:rPr>
        <w:t> </w:t>
      </w:r>
      <w:r>
        <w:rPr/>
        <w:t>purpose</w:t>
      </w:r>
      <w:r>
        <w:rPr>
          <w:spacing w:val="-3"/>
        </w:rPr>
        <w:t> </w:t>
      </w:r>
      <w:r>
        <w:rPr/>
        <w:t>of</w:t>
      </w:r>
      <w:r>
        <w:rPr>
          <w:spacing w:val="-2"/>
        </w:rPr>
        <w:t> </w:t>
      </w:r>
      <w:r>
        <w:rPr/>
        <w:t>this</w:t>
      </w:r>
      <w:r>
        <w:rPr>
          <w:spacing w:val="-1"/>
        </w:rPr>
        <w:t> </w:t>
      </w:r>
      <w:r>
        <w:rPr/>
        <w:t>policy</w:t>
      </w:r>
      <w:r>
        <w:rPr>
          <w:spacing w:val="-3"/>
        </w:rPr>
        <w:t> </w:t>
      </w:r>
      <w:r>
        <w:rPr/>
        <w:t>is to</w:t>
      </w:r>
      <w:r>
        <w:rPr>
          <w:spacing w:val="-1"/>
        </w:rPr>
        <w:t> </w:t>
      </w:r>
      <w:r>
        <w:rPr/>
        <w:t>draw</w:t>
      </w:r>
      <w:r>
        <w:rPr>
          <w:spacing w:val="-4"/>
        </w:rPr>
        <w:t> </w:t>
      </w:r>
      <w:r>
        <w:rPr/>
        <w:t>the</w:t>
      </w:r>
      <w:r>
        <w:rPr>
          <w:spacing w:val="-3"/>
        </w:rPr>
        <w:t> </w:t>
      </w:r>
      <w:r>
        <w:rPr/>
        <w:t>faculty's</w:t>
      </w:r>
      <w:r>
        <w:rPr>
          <w:spacing w:val="-1"/>
        </w:rPr>
        <w:t> </w:t>
      </w:r>
      <w:r>
        <w:rPr/>
        <w:t>attention</w:t>
      </w:r>
      <w:r>
        <w:rPr>
          <w:spacing w:val="-4"/>
        </w:rPr>
        <w:t> </w:t>
      </w:r>
      <w:r>
        <w:rPr/>
        <w:t>to</w:t>
      </w:r>
      <w:r>
        <w:rPr>
          <w:spacing w:val="-4"/>
        </w:rPr>
        <w:t> </w:t>
      </w:r>
      <w:r>
        <w:rPr/>
        <w:t>students</w:t>
      </w:r>
      <w:r>
        <w:rPr>
          <w:spacing w:val="-1"/>
        </w:rPr>
        <w:t> </w:t>
      </w:r>
      <w:r>
        <w:rPr/>
        <w:t>admitted</w:t>
      </w:r>
      <w:r>
        <w:rPr>
          <w:spacing w:val="-1"/>
        </w:rPr>
        <w:t> </w:t>
      </w:r>
      <w:r>
        <w:rPr/>
        <w:t>conditionally</w:t>
      </w:r>
      <w:r>
        <w:rPr>
          <w:spacing w:val="-4"/>
        </w:rPr>
        <w:t> </w:t>
      </w:r>
      <w:r>
        <w:rPr/>
        <w:t>and</w:t>
      </w:r>
      <w:r>
        <w:rPr>
          <w:spacing w:val="-1"/>
        </w:rPr>
        <w:t> </w:t>
      </w:r>
      <w:r>
        <w:rPr/>
        <w:t>to encourage their monitoring of such student's progress.</w:t>
      </w:r>
    </w:p>
    <w:p>
      <w:pPr>
        <w:pStyle w:val="BodyText"/>
        <w:rPr>
          <w:sz w:val="24"/>
        </w:rPr>
      </w:pPr>
    </w:p>
    <w:p>
      <w:pPr>
        <w:pStyle w:val="BodyText"/>
        <w:rPr>
          <w:sz w:val="24"/>
        </w:rPr>
      </w:pPr>
    </w:p>
    <w:p>
      <w:pPr>
        <w:pStyle w:val="BodyText"/>
        <w:rPr>
          <w:sz w:val="24"/>
        </w:rPr>
      </w:pPr>
    </w:p>
    <w:p>
      <w:pPr>
        <w:pStyle w:val="BodyText"/>
        <w:spacing w:before="183"/>
        <w:ind w:left="100"/>
      </w:pPr>
      <w:r>
        <w:rPr/>
        <w:t>CC:</w:t>
      </w:r>
      <w:r>
        <w:rPr>
          <w:spacing w:val="-2"/>
        </w:rPr>
        <w:t> </w:t>
      </w:r>
      <w:r>
        <w:rPr/>
        <w:t>RAFA</w:t>
      </w:r>
      <w:r>
        <w:rPr>
          <w:spacing w:val="-4"/>
        </w:rPr>
        <w:t> </w:t>
      </w:r>
      <w:r>
        <w:rPr>
          <w:spacing w:val="-2"/>
        </w:rPr>
        <w:t>Committee</w:t>
      </w:r>
    </w:p>
    <w:sectPr>
      <w:type w:val="continuous"/>
      <w:pgSz w:w="12240" w:h="15840"/>
      <w:pgMar w:top="6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ind w:left="3297" w:right="2193" w:hanging="399"/>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Karnopp, Jennifer Reigeluth</dc:creator>
  <dcterms:created xsi:type="dcterms:W3CDTF">2023-12-05T17:59:09Z</dcterms:created>
  <dcterms:modified xsi:type="dcterms:W3CDTF">2023-12-05T17:59:09Z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