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left="100"/>
      </w:pPr>
      <w:r>
        <w:rPr/>
        <w:t>2022-2023</w:t>
      </w:r>
      <w:r>
        <w:rPr>
          <w:spacing w:val="-14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Studies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Recruitment,</w:t>
      </w:r>
      <w:r>
        <w:rPr>
          <w:spacing w:val="-14"/>
        </w:rPr>
        <w:t> </w:t>
      </w:r>
      <w:r>
        <w:rPr/>
        <w:t>Admission</w:t>
      </w:r>
      <w:r>
        <w:rPr>
          <w:spacing w:val="-6"/>
        </w:rPr>
        <w:t> </w:t>
      </w:r>
      <w:r>
        <w:rPr/>
        <w:t>&amp;</w:t>
      </w:r>
      <w:r>
        <w:rPr>
          <w:spacing w:val="-4"/>
        </w:rPr>
        <w:t> </w:t>
      </w:r>
      <w:r>
        <w:rPr/>
        <w:t>Financial</w:t>
      </w:r>
      <w:r>
        <w:rPr>
          <w:spacing w:val="-14"/>
        </w:rPr>
        <w:t> </w:t>
      </w:r>
      <w:r>
        <w:rPr/>
        <w:t>Aid</w:t>
      </w:r>
      <w:r>
        <w:rPr>
          <w:spacing w:val="-5"/>
        </w:rPr>
        <w:t> </w:t>
      </w:r>
      <w:r>
        <w:rPr/>
        <w:t>Committee</w:t>
      </w:r>
      <w:r>
        <w:rPr>
          <w:spacing w:val="-14"/>
        </w:rPr>
        <w:t> </w:t>
      </w:r>
      <w:r>
        <w:rPr/>
        <w:t>Annual</w:t>
      </w:r>
      <w:r>
        <w:rPr>
          <w:spacing w:val="-4"/>
        </w:rPr>
        <w:t> </w:t>
      </w:r>
      <w:r>
        <w:rPr>
          <w:spacing w:val="-2"/>
        </w:rPr>
        <w:t>Report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3113"/>
        <w:gridCol w:w="3329"/>
        <w:gridCol w:w="1980"/>
        <w:gridCol w:w="1980"/>
        <w:gridCol w:w="1255"/>
      </w:tblGrid>
      <w:tr>
        <w:trPr>
          <w:trHeight w:val="489" w:hRule="atLeast"/>
        </w:trPr>
        <w:tc>
          <w:tcPr>
            <w:tcW w:w="1294" w:type="dxa"/>
          </w:tcPr>
          <w:p>
            <w:pPr>
              <w:pStyle w:val="TableParagraph"/>
              <w:spacing w:before="130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3113" w:type="dxa"/>
          </w:tcPr>
          <w:p>
            <w:pPr>
              <w:pStyle w:val="TableParagraph"/>
              <w:spacing w:before="130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Charges</w:t>
            </w:r>
          </w:p>
        </w:tc>
        <w:tc>
          <w:tcPr>
            <w:tcW w:w="3329" w:type="dxa"/>
          </w:tcPr>
          <w:p>
            <w:pPr>
              <w:pStyle w:val="TableParagraph"/>
              <w:spacing w:before="130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Progress</w:t>
            </w:r>
          </w:p>
        </w:tc>
        <w:tc>
          <w:tcPr>
            <w:tcW w:w="1980" w:type="dxa"/>
          </w:tcPr>
          <w:p>
            <w:pPr>
              <w:pStyle w:val="TableParagraph"/>
              <w:spacing w:before="130"/>
              <w:ind w:left="385"/>
              <w:rPr>
                <w:sz w:val="20"/>
              </w:rPr>
            </w:pPr>
            <w:r>
              <w:rPr>
                <w:sz w:val="20"/>
              </w:rPr>
              <w:t>Barriers,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any</w:t>
            </w:r>
          </w:p>
        </w:tc>
        <w:tc>
          <w:tcPr>
            <w:tcW w:w="1980" w:type="dxa"/>
          </w:tcPr>
          <w:p>
            <w:pPr>
              <w:pStyle w:val="TableParagraph"/>
              <w:spacing w:line="230" w:lineRule="atLeast" w:before="9"/>
              <w:ind w:left="301" w:right="290" w:firstLine="288"/>
              <w:rPr>
                <w:sz w:val="20"/>
              </w:rPr>
            </w:pPr>
            <w:r>
              <w:rPr>
                <w:spacing w:val="-2"/>
                <w:sz w:val="20"/>
              </w:rPr>
              <w:t>Estimated </w:t>
            </w:r>
            <w:r>
              <w:rPr>
                <w:sz w:val="20"/>
              </w:rPr>
              <w:t>Completion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1255" w:type="dxa"/>
          </w:tcPr>
          <w:p>
            <w:pPr>
              <w:pStyle w:val="TableParagraph"/>
              <w:spacing w:line="230" w:lineRule="atLeast" w:before="9"/>
              <w:ind w:left="392" w:right="148" w:hanging="195"/>
              <w:rPr>
                <w:sz w:val="20"/>
              </w:rPr>
            </w:pPr>
            <w:r>
              <w:rPr>
                <w:spacing w:val="-2"/>
                <w:sz w:val="20"/>
              </w:rPr>
              <w:t>Additional Notes</w:t>
            </w:r>
          </w:p>
        </w:tc>
      </w:tr>
      <w:tr>
        <w:trPr>
          <w:trHeight w:val="2099" w:hRule="atLeast"/>
        </w:trPr>
        <w:tc>
          <w:tcPr>
            <w:tcW w:w="129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ind w:left="127" w:right="116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Graduate </w:t>
            </w:r>
            <w:r>
              <w:rPr>
                <w:sz w:val="20"/>
              </w:rPr>
              <w:t>Studies and </w:t>
            </w:r>
            <w:r>
              <w:rPr>
                <w:spacing w:val="-2"/>
                <w:sz w:val="20"/>
              </w:rPr>
              <w:t>Recruitment, Admissions </w:t>
            </w:r>
            <w:r>
              <w:rPr>
                <w:sz w:val="20"/>
              </w:rPr>
              <w:t>&amp; Financial Aid (GSC)</w:t>
            </w:r>
          </w:p>
        </w:tc>
        <w:tc>
          <w:tcPr>
            <w:tcW w:w="3113" w:type="dxa"/>
          </w:tcPr>
          <w:p>
            <w:pPr>
              <w:pStyle w:val="TableParagraph"/>
              <w:spacing w:before="17"/>
              <w:ind w:left="107" w:right="122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early priority funding deadline</w:t>
            </w:r>
          </w:p>
        </w:tc>
        <w:tc>
          <w:tcPr>
            <w:tcW w:w="3329" w:type="dxa"/>
          </w:tcPr>
          <w:p>
            <w:pPr>
              <w:pStyle w:val="TableParagraph"/>
              <w:spacing w:before="17"/>
              <w:ind w:left="104" w:right="174"/>
              <w:jc w:val="both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 clear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pattern 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data 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year,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admissions deadline did not always translate into earlier decisions within</w:t>
            </w:r>
          </w:p>
          <w:p>
            <w:pPr>
              <w:pStyle w:val="TableParagraph"/>
              <w:ind w:left="104" w:right="133"/>
              <w:rPr>
                <w:sz w:val="20"/>
              </w:rPr>
            </w:pPr>
            <w:r>
              <w:rPr>
                <w:sz w:val="20"/>
              </w:rPr>
              <w:t>programs.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Overall,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deadline did not seem to substantially impact the number of applications, and the</w:t>
            </w:r>
          </w:p>
          <w:p>
            <w:pPr>
              <w:pStyle w:val="TableParagraph"/>
              <w:spacing w:line="230" w:lineRule="exact"/>
              <w:ind w:left="104" w:right="133"/>
              <w:rPr>
                <w:sz w:val="20"/>
              </w:rPr>
            </w:pPr>
            <w:r>
              <w:rPr>
                <w:sz w:val="20"/>
              </w:rPr>
              <w:t>GSO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continue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push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getting decisions out as soon as possible.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"/>
              <w:ind w:left="106" w:right="171"/>
              <w:rPr>
                <w:sz w:val="20"/>
              </w:rPr>
            </w:pPr>
            <w:r>
              <w:rPr>
                <w:spacing w:val="-2"/>
                <w:sz w:val="20"/>
              </w:rPr>
              <w:t>Department </w:t>
            </w:r>
            <w:r>
              <w:rPr>
                <w:sz w:val="20"/>
              </w:rPr>
              <w:t>Decisions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earlier even if apps are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23-</w:t>
            </w:r>
            <w:r>
              <w:rPr>
                <w:spacing w:val="-5"/>
                <w:sz w:val="20"/>
              </w:rPr>
              <w:t>Jan</w:t>
            </w:r>
          </w:p>
        </w:tc>
        <w:tc>
          <w:tcPr>
            <w:tcW w:w="1255" w:type="dxa"/>
          </w:tcPr>
          <w:p>
            <w:pPr>
              <w:pStyle w:val="TableParagraph"/>
              <w:spacing w:before="17"/>
              <w:ind w:left="107" w:right="148"/>
              <w:rPr>
                <w:sz w:val="20"/>
              </w:rPr>
            </w:pPr>
            <w:r>
              <w:rPr>
                <w:spacing w:val="-2"/>
                <w:sz w:val="20"/>
              </w:rPr>
              <w:t>Again something </w:t>
            </w:r>
            <w:r>
              <w:rPr>
                <w:sz w:val="20"/>
              </w:rPr>
              <w:t>worth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check year to year </w:t>
            </w:r>
            <w:r>
              <w:rPr>
                <w:spacing w:val="-6"/>
                <w:sz w:val="20"/>
              </w:rPr>
              <w:t>on</w:t>
            </w:r>
          </w:p>
        </w:tc>
      </w:tr>
      <w:tr>
        <w:trPr>
          <w:trHeight w:val="164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before="17"/>
              <w:ind w:left="107" w:right="122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Finalize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changes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 Annual Review Process for Doctoral Students</w:t>
            </w:r>
          </w:p>
        </w:tc>
        <w:tc>
          <w:tcPr>
            <w:tcW w:w="3329" w:type="dxa"/>
          </w:tcPr>
          <w:p>
            <w:pPr>
              <w:pStyle w:val="TableParagraph"/>
              <w:spacing w:before="17"/>
              <w:ind w:left="104" w:right="133"/>
              <w:rPr>
                <w:sz w:val="20"/>
              </w:rPr>
            </w:pPr>
            <w:r>
              <w:rPr>
                <w:sz w:val="20"/>
              </w:rPr>
              <w:t>Only a few minor changes on the form.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worked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following up with students, and have over 90% completion rate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980" w:type="dxa"/>
          </w:tcPr>
          <w:p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Done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summer/fall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255" w:type="dxa"/>
          </w:tcPr>
          <w:p>
            <w:pPr>
              <w:pStyle w:val="TableParagraph"/>
              <w:spacing w:before="17"/>
              <w:ind w:left="107" w:right="181"/>
              <w:rPr>
                <w:sz w:val="20"/>
              </w:rPr>
            </w:pPr>
            <w:r>
              <w:rPr>
                <w:sz w:val="20"/>
              </w:rPr>
              <w:t>This is something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 believe we will look at yearly for any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updates</w:t>
            </w:r>
          </w:p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or </w:t>
            </w:r>
            <w:r>
              <w:rPr>
                <w:spacing w:val="-2"/>
                <w:sz w:val="20"/>
              </w:rPr>
              <w:t>tweaks</w:t>
            </w:r>
          </w:p>
        </w:tc>
      </w:tr>
      <w:tr>
        <w:trPr>
          <w:trHeight w:val="719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30" w:lineRule="atLeast" w:before="9"/>
              <w:ind w:left="107" w:right="343"/>
              <w:jc w:val="both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campus-level leave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absence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guidance and incorporate into SOE policy</w:t>
            </w:r>
          </w:p>
        </w:tc>
        <w:tc>
          <w:tcPr>
            <w:tcW w:w="3329" w:type="dxa"/>
          </w:tcPr>
          <w:p>
            <w:pPr>
              <w:pStyle w:val="TableParagraph"/>
              <w:spacing w:line="230" w:lineRule="atLeast" w:before="9"/>
              <w:ind w:left="104" w:right="165"/>
              <w:jc w:val="both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approved 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3.22.23.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campus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non-paid leave rolled out April 23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Done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Spring</w:t>
            </w:r>
            <w:r>
              <w:rPr>
                <w:spacing w:val="-5"/>
                <w:sz w:val="20"/>
              </w:rPr>
              <w:t> 23</w:t>
            </w:r>
          </w:p>
        </w:tc>
        <w:tc>
          <w:tcPr>
            <w:tcW w:w="12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41" w:hRule="atLeast"/>
        </w:trPr>
        <w:tc>
          <w:tcPr>
            <w:tcW w:w="12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before="14"/>
              <w:ind w:left="107" w:right="122"/>
              <w:rPr>
                <w:sz w:val="20"/>
              </w:rPr>
            </w:pPr>
            <w:r>
              <w:rPr>
                <w:sz w:val="20"/>
              </w:rPr>
              <w:t>Charge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Monitor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OCAP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process and propose changes as needed.</w:t>
            </w:r>
          </w:p>
        </w:tc>
        <w:tc>
          <w:tcPr>
            <w:tcW w:w="3329" w:type="dxa"/>
          </w:tcPr>
          <w:p>
            <w:pPr>
              <w:pStyle w:val="TableParagraph"/>
              <w:spacing w:before="14"/>
              <w:ind w:left="104" w:right="133"/>
              <w:rPr>
                <w:sz w:val="20"/>
              </w:rPr>
            </w:pPr>
            <w:r>
              <w:rPr>
                <w:sz w:val="20"/>
              </w:rPr>
              <w:t>Made a few minor updates to our existing policy to spell out expectations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program </w:t>
            </w:r>
            <w:r>
              <w:rPr>
                <w:spacing w:val="-2"/>
                <w:sz w:val="20"/>
              </w:rPr>
              <w:t>approval.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Approved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PC </w:t>
            </w:r>
            <w:r>
              <w:rPr>
                <w:spacing w:val="-2"/>
                <w:sz w:val="20"/>
              </w:rPr>
              <w:t>1.25.23</w:t>
            </w:r>
          </w:p>
        </w:tc>
        <w:tc>
          <w:tcPr>
            <w:tcW w:w="1255" w:type="dxa"/>
          </w:tcPr>
          <w:p>
            <w:pPr>
              <w:pStyle w:val="TableParagraph"/>
              <w:spacing w:before="14"/>
              <w:ind w:left="107" w:right="181"/>
              <w:rPr>
                <w:sz w:val="20"/>
              </w:rPr>
            </w:pPr>
            <w:r>
              <w:rPr>
                <w:sz w:val="20"/>
              </w:rPr>
              <w:t>This is something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 believe we will look at yearly for</w:t>
            </w:r>
          </w:p>
          <w:p>
            <w:pPr>
              <w:pStyle w:val="TableParagraph"/>
              <w:spacing w:line="230" w:lineRule="atLeast"/>
              <w:ind w:left="107" w:right="181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updates or tweaks</w:t>
            </w:r>
          </w:p>
        </w:tc>
      </w:tr>
    </w:tbl>
    <w:sectPr>
      <w:type w:val="continuous"/>
      <w:pgSz w:w="15840" w:h="12240" w:orient="landscape"/>
      <w:pgMar w:top="6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Hawkins, Chandler Kris</dc:creator>
  <dc:description/>
  <dcterms:created xsi:type="dcterms:W3CDTF">2024-05-23T14:59:04Z</dcterms:created>
  <dcterms:modified xsi:type="dcterms:W3CDTF">2024-05-23T14:59:04Z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D:20231005153402</vt:lpwstr>
  </property>
</Properties>
</file>