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Faculty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Budgetary</w:t>
      </w:r>
      <w:r>
        <w:rPr>
          <w:spacing w:val="-10"/>
        </w:rPr>
        <w:t> </w:t>
      </w:r>
      <w:r>
        <w:rPr/>
        <w:t>Affairs</w:t>
      </w:r>
      <w:r>
        <w:rPr>
          <w:spacing w:val="-11"/>
        </w:rPr>
        <w:t> </w:t>
      </w:r>
      <w:r>
        <w:rPr/>
        <w:t>Committee End of Year Report (2019-2020)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ind w:left="160" w:firstLine="0"/>
      </w:pPr>
      <w:r>
        <w:rPr/>
        <w:t>Date:</w:t>
      </w:r>
      <w:r>
        <w:rPr>
          <w:spacing w:val="44"/>
        </w:rPr>
        <w:t> </w:t>
      </w:r>
      <w:r>
        <w:rPr/>
        <w:t>April</w:t>
      </w:r>
      <w:r>
        <w:rPr>
          <w:spacing w:val="-1"/>
        </w:rPr>
        <w:t> </w:t>
      </w:r>
      <w:r>
        <w:rPr/>
        <w:t>29,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spacing w:before="293"/>
        <w:ind w:left="160" w:right="0" w:firstLine="0"/>
        <w:jc w:val="left"/>
        <w:rPr>
          <w:sz w:val="22"/>
        </w:rPr>
      </w:pPr>
      <w:r>
        <w:rPr>
          <w:color w:val="493B30"/>
          <w:spacing w:val="-2"/>
          <w:sz w:val="22"/>
        </w:rPr>
        <w:t>Members</w:t>
      </w:r>
      <w:r>
        <w:rPr>
          <w:color w:val="493B30"/>
          <w:spacing w:val="12"/>
          <w:sz w:val="22"/>
        </w:rPr>
        <w:t> </w:t>
      </w:r>
      <w:r>
        <w:rPr>
          <w:color w:val="493B30"/>
          <w:spacing w:val="-2"/>
          <w:sz w:val="22"/>
        </w:rPr>
        <w:t>(2019-2020)</w:t>
      </w:r>
    </w:p>
    <w:tbl>
      <w:tblPr>
        <w:tblW w:w="0" w:type="auto"/>
        <w:jc w:val="left"/>
        <w:tblInd w:w="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5"/>
        <w:gridCol w:w="3939"/>
        <w:gridCol w:w="2231"/>
      </w:tblGrid>
      <w:tr>
        <w:trPr>
          <w:trHeight w:val="268" w:hRule="atLeast"/>
        </w:trPr>
        <w:tc>
          <w:tcPr>
            <w:tcW w:w="2895" w:type="dxa"/>
            <w:shd w:val="clear" w:color="auto" w:fill="A6A6A6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93B30"/>
                <w:spacing w:val="-4"/>
                <w:sz w:val="22"/>
              </w:rPr>
              <w:t>Name</w:t>
            </w:r>
          </w:p>
        </w:tc>
        <w:tc>
          <w:tcPr>
            <w:tcW w:w="3939" w:type="dxa"/>
            <w:shd w:val="clear" w:color="auto" w:fill="A6A6A6"/>
          </w:tcPr>
          <w:p>
            <w:pPr>
              <w:pStyle w:val="TableParagraph"/>
              <w:ind w:left="1518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Department</w:t>
            </w:r>
          </w:p>
        </w:tc>
        <w:tc>
          <w:tcPr>
            <w:tcW w:w="2231" w:type="dxa"/>
            <w:shd w:val="clear" w:color="auto" w:fill="A6A6A6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color w:val="493B30"/>
                <w:spacing w:val="-4"/>
                <w:sz w:val="22"/>
              </w:rPr>
              <w:t>Term</w:t>
            </w:r>
          </w:p>
        </w:tc>
      </w:tr>
      <w:tr>
        <w:trPr>
          <w:trHeight w:val="268" w:hRule="atLeast"/>
        </w:trPr>
        <w:tc>
          <w:tcPr>
            <w:tcW w:w="2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93B30"/>
                <w:sz w:val="22"/>
              </w:rPr>
              <w:t>M.</w:t>
            </w:r>
            <w:r>
              <w:rPr>
                <w:color w:val="493B30"/>
                <w:spacing w:val="-3"/>
                <w:sz w:val="22"/>
              </w:rPr>
              <w:t> </w:t>
            </w:r>
            <w:r>
              <w:rPr>
                <w:color w:val="493B30"/>
                <w:spacing w:val="-2"/>
                <w:sz w:val="22"/>
              </w:rPr>
              <w:t>Hines</w:t>
            </w:r>
          </w:p>
        </w:tc>
        <w:tc>
          <w:tcPr>
            <w:tcW w:w="3939" w:type="dxa"/>
          </w:tcPr>
          <w:p>
            <w:pPr>
              <w:pStyle w:val="TableParagraph"/>
              <w:ind w:left="1518"/>
              <w:rPr>
                <w:sz w:val="22"/>
              </w:rPr>
            </w:pPr>
            <w:r>
              <w:rPr>
                <w:color w:val="493B30"/>
                <w:spacing w:val="-4"/>
                <w:sz w:val="22"/>
              </w:rPr>
              <w:t>LCLE</w:t>
            </w:r>
          </w:p>
        </w:tc>
        <w:tc>
          <w:tcPr>
            <w:tcW w:w="2231" w:type="dxa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17-</w:t>
            </w:r>
            <w:r>
              <w:rPr>
                <w:color w:val="493B30"/>
                <w:spacing w:val="-5"/>
                <w:sz w:val="22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2895" w:type="dxa"/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93B30"/>
                <w:sz w:val="22"/>
              </w:rPr>
              <w:t>K.</w:t>
            </w:r>
            <w:r>
              <w:rPr>
                <w:color w:val="493B30"/>
                <w:spacing w:val="-4"/>
                <w:sz w:val="22"/>
              </w:rPr>
              <w:t> </w:t>
            </w:r>
            <w:r>
              <w:rPr>
                <w:color w:val="493B30"/>
                <w:sz w:val="22"/>
              </w:rPr>
              <w:t>Kwon,</w:t>
            </w:r>
            <w:r>
              <w:rPr>
                <w:color w:val="493B30"/>
                <w:spacing w:val="-6"/>
                <w:sz w:val="22"/>
              </w:rPr>
              <w:t> </w:t>
            </w:r>
            <w:r>
              <w:rPr>
                <w:color w:val="493B30"/>
                <w:spacing w:val="-2"/>
                <w:sz w:val="22"/>
              </w:rPr>
              <w:t>Chair</w:t>
            </w:r>
          </w:p>
        </w:tc>
        <w:tc>
          <w:tcPr>
            <w:tcW w:w="3939" w:type="dxa"/>
            <w:shd w:val="clear" w:color="auto" w:fill="F0F0F0"/>
          </w:tcPr>
          <w:p>
            <w:pPr>
              <w:pStyle w:val="TableParagraph"/>
              <w:ind w:left="1518"/>
              <w:rPr>
                <w:sz w:val="22"/>
              </w:rPr>
            </w:pPr>
            <w:r>
              <w:rPr>
                <w:color w:val="493B30"/>
                <w:spacing w:val="-5"/>
                <w:sz w:val="22"/>
              </w:rPr>
              <w:t>IST</w:t>
            </w:r>
          </w:p>
        </w:tc>
        <w:tc>
          <w:tcPr>
            <w:tcW w:w="2231" w:type="dxa"/>
            <w:shd w:val="clear" w:color="auto" w:fill="F0F0F0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17-</w:t>
            </w:r>
            <w:r>
              <w:rPr>
                <w:color w:val="493B30"/>
                <w:spacing w:val="-5"/>
                <w:sz w:val="22"/>
              </w:rPr>
              <w:t>20</w:t>
            </w:r>
          </w:p>
        </w:tc>
      </w:tr>
      <w:tr>
        <w:trPr>
          <w:trHeight w:val="269" w:hRule="atLeast"/>
        </w:trPr>
        <w:tc>
          <w:tcPr>
            <w:tcW w:w="2895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color w:val="493B30"/>
                <w:sz w:val="22"/>
              </w:rPr>
              <w:t>M.</w:t>
            </w:r>
            <w:r>
              <w:rPr>
                <w:color w:val="493B30"/>
                <w:spacing w:val="-5"/>
                <w:sz w:val="22"/>
              </w:rPr>
              <w:t> </w:t>
            </w:r>
            <w:r>
              <w:rPr>
                <w:color w:val="493B30"/>
                <w:sz w:val="22"/>
              </w:rPr>
              <w:t>Park</w:t>
            </w:r>
            <w:r>
              <w:rPr>
                <w:color w:val="493B30"/>
                <w:spacing w:val="-2"/>
                <w:sz w:val="22"/>
              </w:rPr>
              <w:t> Rogers</w:t>
            </w:r>
          </w:p>
        </w:tc>
        <w:tc>
          <w:tcPr>
            <w:tcW w:w="3939" w:type="dxa"/>
          </w:tcPr>
          <w:p>
            <w:pPr>
              <w:pStyle w:val="TableParagraph"/>
              <w:spacing w:before="2"/>
              <w:ind w:left="1518"/>
              <w:rPr>
                <w:sz w:val="22"/>
              </w:rPr>
            </w:pPr>
            <w:r>
              <w:rPr>
                <w:color w:val="493B30"/>
                <w:spacing w:val="-5"/>
                <w:sz w:val="22"/>
              </w:rPr>
              <w:t>C&amp;I</w:t>
            </w:r>
          </w:p>
        </w:tc>
        <w:tc>
          <w:tcPr>
            <w:tcW w:w="2231" w:type="dxa"/>
          </w:tcPr>
          <w:p>
            <w:pPr>
              <w:pStyle w:val="TableParagraph"/>
              <w:spacing w:before="2"/>
              <w:ind w:left="157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17-</w:t>
            </w:r>
            <w:r>
              <w:rPr>
                <w:color w:val="493B30"/>
                <w:spacing w:val="-5"/>
                <w:sz w:val="22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2895" w:type="dxa"/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93B30"/>
                <w:sz w:val="22"/>
              </w:rPr>
              <w:t>L.</w:t>
            </w:r>
            <w:r>
              <w:rPr>
                <w:color w:val="493B30"/>
                <w:spacing w:val="-3"/>
                <w:sz w:val="22"/>
              </w:rPr>
              <w:t> </w:t>
            </w:r>
            <w:r>
              <w:rPr>
                <w:color w:val="493B30"/>
                <w:spacing w:val="-2"/>
                <w:sz w:val="22"/>
              </w:rPr>
              <w:t>Rutkowski</w:t>
            </w:r>
          </w:p>
        </w:tc>
        <w:tc>
          <w:tcPr>
            <w:tcW w:w="3939" w:type="dxa"/>
            <w:shd w:val="clear" w:color="auto" w:fill="F0F0F0"/>
          </w:tcPr>
          <w:p>
            <w:pPr>
              <w:pStyle w:val="TableParagraph"/>
              <w:ind w:left="1518"/>
              <w:rPr>
                <w:sz w:val="22"/>
              </w:rPr>
            </w:pPr>
            <w:r>
              <w:rPr>
                <w:color w:val="493B30"/>
                <w:spacing w:val="-5"/>
                <w:sz w:val="22"/>
              </w:rPr>
              <w:t>CEP</w:t>
            </w:r>
          </w:p>
        </w:tc>
        <w:tc>
          <w:tcPr>
            <w:tcW w:w="2231" w:type="dxa"/>
            <w:shd w:val="clear" w:color="auto" w:fill="F0F0F0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18-</w:t>
            </w:r>
            <w:r>
              <w:rPr>
                <w:color w:val="493B30"/>
                <w:spacing w:val="-5"/>
                <w:sz w:val="22"/>
              </w:rPr>
              <w:t>21</w:t>
            </w:r>
          </w:p>
        </w:tc>
      </w:tr>
      <w:tr>
        <w:trPr>
          <w:trHeight w:val="268" w:hRule="atLeast"/>
        </w:trPr>
        <w:tc>
          <w:tcPr>
            <w:tcW w:w="2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93B30"/>
                <w:sz w:val="22"/>
              </w:rPr>
              <w:t>G.</w:t>
            </w:r>
            <w:r>
              <w:rPr>
                <w:color w:val="493B30"/>
                <w:spacing w:val="-4"/>
                <w:sz w:val="22"/>
              </w:rPr>
              <w:t> </w:t>
            </w:r>
            <w:r>
              <w:rPr>
                <w:color w:val="493B30"/>
                <w:spacing w:val="-2"/>
                <w:sz w:val="22"/>
              </w:rPr>
              <w:t>Gonzalez</w:t>
            </w:r>
          </w:p>
        </w:tc>
        <w:tc>
          <w:tcPr>
            <w:tcW w:w="3939" w:type="dxa"/>
          </w:tcPr>
          <w:p>
            <w:pPr>
              <w:pStyle w:val="TableParagraph"/>
              <w:ind w:left="1518"/>
              <w:rPr>
                <w:sz w:val="22"/>
              </w:rPr>
            </w:pPr>
            <w:r>
              <w:rPr>
                <w:color w:val="493B30"/>
                <w:spacing w:val="-4"/>
                <w:sz w:val="22"/>
              </w:rPr>
              <w:t>ELPS</w:t>
            </w:r>
          </w:p>
        </w:tc>
        <w:tc>
          <w:tcPr>
            <w:tcW w:w="2231" w:type="dxa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18-</w:t>
            </w:r>
            <w:r>
              <w:rPr>
                <w:color w:val="493B30"/>
                <w:spacing w:val="-5"/>
                <w:sz w:val="22"/>
              </w:rPr>
              <w:t>21</w:t>
            </w:r>
          </w:p>
        </w:tc>
      </w:tr>
      <w:tr>
        <w:trPr>
          <w:trHeight w:val="268" w:hRule="atLeast"/>
        </w:trPr>
        <w:tc>
          <w:tcPr>
            <w:tcW w:w="2895" w:type="dxa"/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93B30"/>
                <w:sz w:val="22"/>
              </w:rPr>
              <w:t>K.</w:t>
            </w:r>
            <w:r>
              <w:rPr>
                <w:color w:val="493B30"/>
                <w:spacing w:val="-1"/>
                <w:sz w:val="22"/>
              </w:rPr>
              <w:t> </w:t>
            </w:r>
            <w:r>
              <w:rPr>
                <w:color w:val="493B30"/>
                <w:spacing w:val="-2"/>
                <w:sz w:val="22"/>
              </w:rPr>
              <w:t>Fosnacht</w:t>
            </w:r>
          </w:p>
        </w:tc>
        <w:tc>
          <w:tcPr>
            <w:tcW w:w="3939" w:type="dxa"/>
            <w:shd w:val="clear" w:color="auto" w:fill="F0F0F0"/>
          </w:tcPr>
          <w:p>
            <w:pPr>
              <w:pStyle w:val="TableParagraph"/>
              <w:ind w:left="1518"/>
              <w:rPr>
                <w:sz w:val="22"/>
              </w:rPr>
            </w:pPr>
            <w:r>
              <w:rPr>
                <w:color w:val="493B30"/>
                <w:spacing w:val="-5"/>
                <w:sz w:val="22"/>
              </w:rPr>
              <w:t>CPR</w:t>
            </w:r>
          </w:p>
        </w:tc>
        <w:tc>
          <w:tcPr>
            <w:tcW w:w="2231" w:type="dxa"/>
            <w:shd w:val="clear" w:color="auto" w:fill="F0F0F0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18-</w:t>
            </w:r>
            <w:r>
              <w:rPr>
                <w:color w:val="493B30"/>
                <w:spacing w:val="-5"/>
                <w:sz w:val="22"/>
              </w:rPr>
              <w:t>21</w:t>
            </w:r>
          </w:p>
        </w:tc>
      </w:tr>
      <w:tr>
        <w:trPr>
          <w:trHeight w:val="268" w:hRule="atLeast"/>
        </w:trPr>
        <w:tc>
          <w:tcPr>
            <w:tcW w:w="28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93B30"/>
                <w:sz w:val="22"/>
              </w:rPr>
              <w:t>P.</w:t>
            </w:r>
            <w:r>
              <w:rPr>
                <w:color w:val="493B30"/>
                <w:spacing w:val="-1"/>
                <w:sz w:val="22"/>
              </w:rPr>
              <w:t> </w:t>
            </w:r>
            <w:r>
              <w:rPr>
                <w:color w:val="493B30"/>
                <w:spacing w:val="-4"/>
                <w:sz w:val="22"/>
              </w:rPr>
              <w:t>Kubow</w:t>
            </w:r>
          </w:p>
        </w:tc>
        <w:tc>
          <w:tcPr>
            <w:tcW w:w="3939" w:type="dxa"/>
          </w:tcPr>
          <w:p>
            <w:pPr>
              <w:pStyle w:val="TableParagraph"/>
              <w:ind w:left="1518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C&amp;I,ELPS</w:t>
            </w:r>
          </w:p>
        </w:tc>
        <w:tc>
          <w:tcPr>
            <w:tcW w:w="2231" w:type="dxa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19-</w:t>
            </w:r>
            <w:r>
              <w:rPr>
                <w:color w:val="493B30"/>
                <w:spacing w:val="-5"/>
                <w:sz w:val="22"/>
              </w:rPr>
              <w:t>22</w:t>
            </w:r>
          </w:p>
        </w:tc>
      </w:tr>
      <w:tr>
        <w:trPr>
          <w:trHeight w:val="268" w:hRule="atLeast"/>
        </w:trPr>
        <w:tc>
          <w:tcPr>
            <w:tcW w:w="2895" w:type="dxa"/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93B30"/>
                <w:sz w:val="22"/>
              </w:rPr>
              <w:t>M.</w:t>
            </w:r>
            <w:r>
              <w:rPr>
                <w:color w:val="493B30"/>
                <w:spacing w:val="-2"/>
                <w:sz w:val="22"/>
              </w:rPr>
              <w:t> Jensen</w:t>
            </w:r>
          </w:p>
        </w:tc>
        <w:tc>
          <w:tcPr>
            <w:tcW w:w="3939" w:type="dxa"/>
            <w:shd w:val="clear" w:color="auto" w:fill="F0F0F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0F0F0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Staff</w:t>
            </w:r>
          </w:p>
        </w:tc>
      </w:tr>
      <w:tr>
        <w:trPr>
          <w:trHeight w:val="269" w:hRule="atLeast"/>
        </w:trPr>
        <w:tc>
          <w:tcPr>
            <w:tcW w:w="289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color w:val="493B30"/>
                <w:sz w:val="22"/>
              </w:rPr>
              <w:t>B.</w:t>
            </w:r>
            <w:r>
              <w:rPr>
                <w:color w:val="493B30"/>
                <w:spacing w:val="-4"/>
                <w:sz w:val="22"/>
              </w:rPr>
              <w:t> </w:t>
            </w:r>
            <w:r>
              <w:rPr>
                <w:color w:val="493B30"/>
                <w:spacing w:val="-2"/>
                <w:sz w:val="22"/>
              </w:rPr>
              <w:t>Holmes</w:t>
            </w:r>
          </w:p>
        </w:tc>
        <w:tc>
          <w:tcPr>
            <w:tcW w:w="39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>
            <w:pPr>
              <w:pStyle w:val="TableParagraph"/>
              <w:spacing w:line="248" w:lineRule="exact"/>
              <w:ind w:left="157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Student</w:t>
            </w:r>
          </w:p>
        </w:tc>
      </w:tr>
      <w:tr>
        <w:trPr>
          <w:trHeight w:val="268" w:hRule="atLeast"/>
        </w:trPr>
        <w:tc>
          <w:tcPr>
            <w:tcW w:w="2895" w:type="dxa"/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493B30"/>
                <w:sz w:val="22"/>
              </w:rPr>
              <w:t>G.</w:t>
            </w:r>
            <w:r>
              <w:rPr>
                <w:color w:val="493B30"/>
                <w:spacing w:val="-2"/>
                <w:sz w:val="22"/>
              </w:rPr>
              <w:t> Delandshere</w:t>
            </w:r>
          </w:p>
        </w:tc>
        <w:tc>
          <w:tcPr>
            <w:tcW w:w="3939" w:type="dxa"/>
            <w:shd w:val="clear" w:color="auto" w:fill="F0F0F0"/>
          </w:tcPr>
          <w:p>
            <w:pPr>
              <w:pStyle w:val="TableParagraph"/>
              <w:ind w:left="1518"/>
              <w:rPr>
                <w:sz w:val="22"/>
              </w:rPr>
            </w:pPr>
            <w:r>
              <w:rPr>
                <w:color w:val="493B30"/>
                <w:sz w:val="22"/>
              </w:rPr>
              <w:t>Executive</w:t>
            </w:r>
            <w:r>
              <w:rPr>
                <w:color w:val="493B30"/>
                <w:spacing w:val="-12"/>
                <w:sz w:val="22"/>
              </w:rPr>
              <w:t> </w:t>
            </w:r>
            <w:r>
              <w:rPr>
                <w:color w:val="493B30"/>
                <w:sz w:val="22"/>
              </w:rPr>
              <w:t>Associate</w:t>
            </w:r>
            <w:r>
              <w:rPr>
                <w:color w:val="493B30"/>
                <w:spacing w:val="-10"/>
                <w:sz w:val="22"/>
              </w:rPr>
              <w:t> </w:t>
            </w:r>
            <w:r>
              <w:rPr>
                <w:color w:val="493B30"/>
                <w:spacing w:val="-4"/>
                <w:sz w:val="22"/>
              </w:rPr>
              <w:t>Dean</w:t>
            </w:r>
          </w:p>
        </w:tc>
        <w:tc>
          <w:tcPr>
            <w:tcW w:w="2231" w:type="dxa"/>
            <w:shd w:val="clear" w:color="auto" w:fill="F0F0F0"/>
          </w:tcPr>
          <w:p>
            <w:pPr>
              <w:pStyle w:val="TableParagraph"/>
              <w:ind w:left="157"/>
              <w:rPr>
                <w:sz w:val="22"/>
              </w:rPr>
            </w:pPr>
            <w:r>
              <w:rPr>
                <w:color w:val="493B30"/>
                <w:spacing w:val="-2"/>
                <w:sz w:val="22"/>
              </w:rPr>
              <w:t>Ex-Officio</w:t>
            </w:r>
          </w:p>
        </w:tc>
      </w:tr>
    </w:tbl>
    <w:p>
      <w:pPr>
        <w:pStyle w:val="BodyText"/>
        <w:spacing w:before="105"/>
        <w:ind w:left="0" w:firstLine="0"/>
        <w:rPr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9"/>
        <w:gridCol w:w="933"/>
        <w:gridCol w:w="5492"/>
      </w:tblGrid>
      <w:tr>
        <w:trPr>
          <w:trHeight w:val="266" w:hRule="atLeast"/>
        </w:trPr>
        <w:tc>
          <w:tcPr>
            <w:tcW w:w="187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Dates:</w:t>
            </w:r>
          </w:p>
        </w:tc>
        <w:tc>
          <w:tcPr>
            <w:tcW w:w="933" w:type="dxa"/>
          </w:tcPr>
          <w:p>
            <w:pPr>
              <w:pStyle w:val="TableParagraph"/>
              <w:spacing w:line="244" w:lineRule="exact" w:before="0"/>
              <w:ind w:right="11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5492" w:type="dxa"/>
          </w:tcPr>
          <w:p>
            <w:pPr>
              <w:pStyle w:val="TableParagraph"/>
              <w:spacing w:line="244" w:lineRule="exact" w:before="0"/>
              <w:ind w:left="119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October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28, November 18,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18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6" w:lineRule="exact" w:before="0"/>
              <w:ind w:right="11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5492" w:type="dxa"/>
          </w:tcPr>
          <w:p>
            <w:pPr>
              <w:pStyle w:val="TableParagraph"/>
              <w:spacing w:line="246" w:lineRule="exact" w:before="0"/>
              <w:ind w:left="119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23,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February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March 26,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April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</w:tc>
      </w:tr>
    </w:tbl>
    <w:p>
      <w:pPr>
        <w:pStyle w:val="BodyText"/>
        <w:spacing w:before="29"/>
        <w:ind w:left="0" w:firstLine="0"/>
        <w:rPr>
          <w:sz w:val="22"/>
        </w:rPr>
      </w:pPr>
    </w:p>
    <w:p>
      <w:pPr>
        <w:pStyle w:val="BodyText"/>
        <w:spacing w:line="291" w:lineRule="exact"/>
        <w:ind w:left="160" w:firstLine="0"/>
      </w:pPr>
      <w:r>
        <w:rPr/>
        <w:t>Goals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Charges</w:t>
      </w:r>
      <w:r>
        <w:rPr>
          <w:spacing w:val="-3"/>
        </w:rPr>
        <w:t> </w:t>
      </w:r>
      <w:r>
        <w:rPr/>
        <w:t>(please</w:t>
      </w:r>
      <w:r>
        <w:rPr>
          <w:spacing w:val="-5"/>
        </w:rPr>
        <w:t> </w:t>
      </w:r>
      <w:r>
        <w:rPr/>
        <w:t>provide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bulleted</w:t>
      </w:r>
      <w:r>
        <w:rPr>
          <w:spacing w:val="-1"/>
        </w:rPr>
        <w:t> </w:t>
      </w:r>
      <w:r>
        <w:rPr>
          <w:spacing w:val="-2"/>
        </w:rPr>
        <w:t>list):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0" w:after="0"/>
        <w:ind w:left="881" w:right="304" w:hanging="361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policies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Clinical</w:t>
      </w:r>
      <w:r>
        <w:rPr>
          <w:spacing w:val="-7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language,</w:t>
      </w:r>
      <w:r>
        <w:rPr>
          <w:spacing w:val="-7"/>
          <w:sz w:val="24"/>
        </w:rPr>
        <w:t> </w:t>
      </w:r>
      <w:r>
        <w:rPr>
          <w:sz w:val="24"/>
        </w:rPr>
        <w:t>update,</w:t>
      </w:r>
      <w:r>
        <w:rPr>
          <w:spacing w:val="-7"/>
          <w:sz w:val="24"/>
        </w:rPr>
        <w:t> </w:t>
      </w:r>
      <w:r>
        <w:rPr>
          <w:sz w:val="24"/>
        </w:rPr>
        <w:t>and reorganize</w:t>
      </w:r>
      <w:r>
        <w:rPr>
          <w:spacing w:val="-3"/>
          <w:sz w:val="24"/>
        </w:rPr>
        <w:t> </w:t>
      </w:r>
      <w:r>
        <w:rPr>
          <w:sz w:val="24"/>
        </w:rPr>
        <w:t>five</w:t>
      </w:r>
      <w:r>
        <w:rPr>
          <w:spacing w:val="-4"/>
          <w:sz w:val="24"/>
        </w:rPr>
        <w:t> </w:t>
      </w:r>
      <w:r>
        <w:rPr>
          <w:sz w:val="24"/>
        </w:rPr>
        <w:t>separated policies into one document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13</w:t>
      </w:r>
      <w:r>
        <w:rPr>
          <w:spacing w:val="-5"/>
          <w:sz w:val="24"/>
        </w:rPr>
        <w:t> </w:t>
      </w:r>
      <w:r>
        <w:rPr>
          <w:sz w:val="24"/>
        </w:rPr>
        <w:t>sabbatical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applications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2" w:after="0"/>
        <w:ind w:left="881" w:right="964" w:hanging="361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professors’</w:t>
      </w:r>
      <w:r>
        <w:rPr>
          <w:spacing w:val="-7"/>
          <w:sz w:val="24"/>
        </w:rPr>
        <w:t> </w:t>
      </w:r>
      <w:r>
        <w:rPr>
          <w:sz w:val="24"/>
        </w:rPr>
        <w:t>salaries 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compare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6"/>
          <w:sz w:val="24"/>
        </w:rPr>
        <w:t> </w:t>
      </w:r>
      <w:r>
        <w:rPr>
          <w:sz w:val="24"/>
        </w:rPr>
        <w:t>AAU institutions’ average salaries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1" w:after="0"/>
        <w:ind w:left="880" w:right="0" w:hanging="36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recommend</w:t>
      </w:r>
      <w:r>
        <w:rPr>
          <w:spacing w:val="-4"/>
          <w:sz w:val="24"/>
        </w:rPr>
        <w:t> </w:t>
      </w:r>
      <w:r>
        <w:rPr>
          <w:sz w:val="24"/>
        </w:rPr>
        <w:t>scheme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merit</w:t>
      </w:r>
      <w:r>
        <w:rPr>
          <w:spacing w:val="-3"/>
          <w:sz w:val="24"/>
        </w:rPr>
        <w:t> </w:t>
      </w:r>
      <w:r>
        <w:rPr>
          <w:sz w:val="24"/>
        </w:rPr>
        <w:t>salary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increases</w:t>
      </w:r>
    </w:p>
    <w:p>
      <w:pPr>
        <w:pStyle w:val="BodyText"/>
        <w:ind w:left="0" w:firstLine="0"/>
      </w:pPr>
    </w:p>
    <w:p>
      <w:pPr>
        <w:pStyle w:val="BodyText"/>
        <w:spacing w:line="291" w:lineRule="exact"/>
        <w:ind w:left="160" w:firstLine="0"/>
      </w:pPr>
      <w:r>
        <w:rPr/>
        <w:t>Actions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Outcomes</w:t>
      </w:r>
      <w:r>
        <w:rPr>
          <w:spacing w:val="-2"/>
        </w:rPr>
        <w:t> </w:t>
      </w:r>
      <w:r>
        <w:rPr/>
        <w:t>(please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bulleted</w:t>
      </w:r>
      <w:r>
        <w:rPr>
          <w:spacing w:val="-6"/>
        </w:rPr>
        <w:t> </w:t>
      </w:r>
      <w:r>
        <w:rPr>
          <w:spacing w:val="-2"/>
        </w:rPr>
        <w:t>list):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304" w:lineRule="exact" w:before="0" w:after="0"/>
        <w:ind w:left="880" w:right="0" w:hanging="360"/>
        <w:jc w:val="left"/>
        <w:rPr>
          <w:sz w:val="24"/>
        </w:rPr>
      </w:pPr>
      <w:r>
        <w:rPr>
          <w:spacing w:val="-2"/>
          <w:sz w:val="24"/>
        </w:rPr>
        <w:t>October</w:t>
      </w: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32" w:lineRule="auto" w:before="6" w:after="0"/>
        <w:ind w:left="1601" w:right="261" w:hanging="360"/>
        <w:jc w:val="left"/>
        <w:rPr>
          <w:sz w:val="24"/>
        </w:rPr>
      </w:pPr>
      <w:r>
        <w:rPr>
          <w:sz w:val="24"/>
        </w:rPr>
        <w:t>Reviewed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discussed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revised</w:t>
      </w:r>
      <w:r>
        <w:rPr>
          <w:spacing w:val="-5"/>
          <w:sz w:val="24"/>
        </w:rPr>
        <w:t> </w:t>
      </w:r>
      <w:r>
        <w:rPr>
          <w:sz w:val="24"/>
        </w:rPr>
        <w:t>evaluation</w:t>
      </w:r>
      <w:r>
        <w:rPr>
          <w:spacing w:val="-5"/>
          <w:sz w:val="24"/>
        </w:rPr>
        <w:t> </w:t>
      </w:r>
      <w:r>
        <w:rPr>
          <w:sz w:val="24"/>
        </w:rPr>
        <w:t>criteria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tenure-track</w:t>
      </w:r>
      <w:r>
        <w:rPr>
          <w:spacing w:val="-3"/>
          <w:sz w:val="24"/>
        </w:rPr>
        <w:t> </w:t>
      </w:r>
      <w:r>
        <w:rPr>
          <w:sz w:val="24"/>
        </w:rPr>
        <w:t>faculty. See Oct. 28, 2019 notes for details on the discussion items and edits.</w:t>
      </w: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32" w:lineRule="auto" w:before="11" w:after="0"/>
        <w:ind w:left="1601" w:right="505" w:hanging="360"/>
        <w:jc w:val="left"/>
        <w:rPr>
          <w:sz w:val="24"/>
        </w:rPr>
      </w:pPr>
      <w:r>
        <w:rPr>
          <w:sz w:val="24"/>
        </w:rPr>
        <w:t>Shared</w:t>
      </w:r>
      <w:r>
        <w:rPr>
          <w:spacing w:val="-6"/>
          <w:sz w:val="24"/>
        </w:rPr>
        <w:t> </w:t>
      </w:r>
      <w:r>
        <w:rPr>
          <w:sz w:val="24"/>
        </w:rPr>
        <w:t>Big10</w:t>
      </w:r>
      <w:r>
        <w:rPr>
          <w:spacing w:val="-8"/>
          <w:sz w:val="24"/>
        </w:rPr>
        <w:t> </w:t>
      </w:r>
      <w:r>
        <w:rPr>
          <w:sz w:val="24"/>
        </w:rPr>
        <w:t>senior</w:t>
      </w:r>
      <w:r>
        <w:rPr>
          <w:spacing w:val="-3"/>
          <w:sz w:val="24"/>
        </w:rPr>
        <w:t> </w:t>
      </w:r>
      <w:r>
        <w:rPr>
          <w:sz w:val="24"/>
        </w:rPr>
        <w:t>lecturer/</w:t>
      </w:r>
      <w:r>
        <w:rPr>
          <w:spacing w:val="-7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professor</w:t>
      </w:r>
      <w:r>
        <w:rPr>
          <w:spacing w:val="-3"/>
          <w:sz w:val="24"/>
        </w:rPr>
        <w:t> </w:t>
      </w:r>
      <w:r>
        <w:rPr>
          <w:sz w:val="24"/>
        </w:rPr>
        <w:t>description to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ideas</w:t>
      </w:r>
      <w:r>
        <w:rPr>
          <w:spacing w:val="-4"/>
          <w:sz w:val="24"/>
        </w:rPr>
        <w:t> </w:t>
      </w:r>
      <w:r>
        <w:rPr>
          <w:sz w:val="24"/>
        </w:rPr>
        <w:t>of criteria for promotion from senior lecturer to teaching professor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4" w:after="0"/>
        <w:ind w:left="880" w:right="0" w:hanging="360"/>
        <w:jc w:val="left"/>
        <w:rPr>
          <w:sz w:val="24"/>
        </w:rPr>
      </w:pPr>
      <w:r>
        <w:rPr>
          <w:sz w:val="24"/>
        </w:rPr>
        <w:t>October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November</w:t>
      </w: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32" w:lineRule="auto" w:before="7" w:after="0"/>
        <w:ind w:left="1601" w:right="108" w:hanging="360"/>
        <w:jc w:val="left"/>
        <w:rPr>
          <w:sz w:val="24"/>
        </w:rPr>
      </w:pPr>
      <w:r>
        <w:rPr>
          <w:sz w:val="24"/>
        </w:rPr>
        <w:t>Review of</w:t>
      </w:r>
      <w:r>
        <w:rPr>
          <w:spacing w:val="-3"/>
          <w:sz w:val="24"/>
        </w:rPr>
        <w:t> </w:t>
      </w:r>
      <w:r>
        <w:rPr>
          <w:sz w:val="24"/>
        </w:rPr>
        <w:t>sabbatical</w:t>
      </w:r>
      <w:r>
        <w:rPr>
          <w:spacing w:val="-4"/>
          <w:sz w:val="24"/>
        </w:rPr>
        <w:t> </w:t>
      </w:r>
      <w:r>
        <w:rPr>
          <w:sz w:val="24"/>
        </w:rPr>
        <w:t>applications completed</w:t>
      </w:r>
      <w:r>
        <w:rPr>
          <w:spacing w:val="-3"/>
          <w:sz w:val="24"/>
        </w:rPr>
        <w:t> </w:t>
      </w:r>
      <w:r>
        <w:rPr>
          <w:sz w:val="24"/>
        </w:rPr>
        <w:t>electronically outside of</w:t>
      </w:r>
      <w:r>
        <w:rPr>
          <w:spacing w:val="-3"/>
          <w:sz w:val="24"/>
        </w:rPr>
        <w:t> </w:t>
      </w:r>
      <w:r>
        <w:rPr>
          <w:sz w:val="24"/>
        </w:rPr>
        <w:t>committee meeting</w:t>
      </w:r>
      <w:r>
        <w:rPr>
          <w:spacing w:val="-5"/>
          <w:sz w:val="24"/>
        </w:rPr>
        <w:t> </w:t>
      </w:r>
      <w:r>
        <w:rPr>
          <w:sz w:val="24"/>
        </w:rPr>
        <w:t>time.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8"/>
          <w:sz w:val="24"/>
        </w:rPr>
        <w:t> </w: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assigned</w:t>
      </w:r>
      <w:r>
        <w:rPr>
          <w:spacing w:val="-7"/>
          <w:sz w:val="24"/>
        </w:rPr>
        <w:t> </w:t>
      </w:r>
      <w:r>
        <w:rPr>
          <w:sz w:val="24"/>
        </w:rPr>
        <w:t>two</w:t>
      </w:r>
      <w:r>
        <w:rPr>
          <w:spacing w:val="-8"/>
          <w:sz w:val="24"/>
        </w:rPr>
        <w:t> </w:t>
      </w:r>
      <w:r>
        <w:rPr>
          <w:sz w:val="24"/>
        </w:rPr>
        <w:t>reviewers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committee.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5" w:after="0"/>
        <w:ind w:left="880" w:right="0" w:hanging="360"/>
        <w:jc w:val="left"/>
        <w:rPr>
          <w:sz w:val="24"/>
        </w:rPr>
      </w:pPr>
      <w:r>
        <w:rPr>
          <w:spacing w:val="-2"/>
          <w:sz w:val="24"/>
        </w:rPr>
        <w:t>November</w:t>
      </w: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37" w:lineRule="auto" w:before="2" w:after="0"/>
        <w:ind w:left="1601" w:right="182" w:hanging="360"/>
        <w:jc w:val="left"/>
        <w:rPr>
          <w:sz w:val="24"/>
        </w:rPr>
      </w:pPr>
      <w:r>
        <w:rPr>
          <w:sz w:val="24"/>
        </w:rPr>
        <w:t>Discussed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edited</w:t>
      </w:r>
      <w:r>
        <w:rPr>
          <w:spacing w:val="-7"/>
          <w:sz w:val="24"/>
        </w:rPr>
        <w:t> </w:t>
      </w:r>
      <w:r>
        <w:rPr>
          <w:sz w:val="24"/>
        </w:rPr>
        <w:t>clinical</w:t>
      </w:r>
      <w:r>
        <w:rPr>
          <w:spacing w:val="-8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appointment</w:t>
      </w:r>
      <w:r>
        <w:rPr>
          <w:spacing w:val="-2"/>
          <w:sz w:val="24"/>
        </w:rPr>
        <w:t> </w:t>
      </w:r>
      <w:r>
        <w:rPr>
          <w:sz w:val="24"/>
        </w:rPr>
        <w:t>policies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merged into one policy document. See Nov. 18, 2019 notes for details on the sections reviewed and issues discussed.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sz w:val="24"/>
        </w:rPr>
      </w:pPr>
      <w:r>
        <w:rPr>
          <w:spacing w:val="-2"/>
          <w:sz w:val="24"/>
        </w:rPr>
        <w:t>December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420" w:bottom="280" w:left="1280" w:right="1380"/>
        </w:sectPr>
      </w:pP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32" w:lineRule="auto" w:before="49" w:after="0"/>
        <w:ind w:left="1601" w:right="381" w:hanging="360"/>
        <w:jc w:val="left"/>
        <w:rPr>
          <w:sz w:val="24"/>
        </w:rPr>
      </w:pPr>
      <w:r>
        <w:rPr>
          <w:sz w:val="24"/>
        </w:rPr>
        <w:t>Continued</w:t>
      </w:r>
      <w:r>
        <w:rPr>
          <w:spacing w:val="-4"/>
          <w:sz w:val="24"/>
        </w:rPr>
        <w:t> </w:t>
      </w:r>
      <w:r>
        <w:rPr>
          <w:sz w:val="24"/>
        </w:rPr>
        <w:t>discussing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editing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clinical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6"/>
          <w:sz w:val="24"/>
        </w:rPr>
        <w:t> </w:t>
      </w:r>
      <w:r>
        <w:rPr>
          <w:sz w:val="24"/>
        </w:rPr>
        <w:t>appointment</w:t>
      </w:r>
      <w:r>
        <w:rPr>
          <w:spacing w:val="-6"/>
          <w:sz w:val="24"/>
        </w:rPr>
        <w:t> </w:t>
      </w:r>
      <w:r>
        <w:rPr>
          <w:sz w:val="24"/>
        </w:rPr>
        <w:t>policies. See Dec. 9, 2019 notes for details on the sections reviewed and issues discussed.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4" w:after="0"/>
        <w:ind w:left="880" w:right="0" w:hanging="360"/>
        <w:jc w:val="left"/>
        <w:rPr>
          <w:sz w:val="24"/>
        </w:rPr>
      </w:pPr>
      <w:r>
        <w:rPr>
          <w:spacing w:val="-2"/>
          <w:sz w:val="24"/>
        </w:rPr>
        <w:t>January</w:t>
      </w: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32" w:lineRule="auto" w:before="7" w:after="0"/>
        <w:ind w:left="1601" w:right="381" w:hanging="360"/>
        <w:jc w:val="left"/>
        <w:rPr>
          <w:sz w:val="24"/>
        </w:rPr>
      </w:pPr>
      <w:r>
        <w:rPr>
          <w:sz w:val="24"/>
        </w:rPr>
        <w:t>Continued</w:t>
      </w:r>
      <w:r>
        <w:rPr>
          <w:spacing w:val="-4"/>
          <w:sz w:val="24"/>
        </w:rPr>
        <w:t> </w:t>
      </w:r>
      <w:r>
        <w:rPr>
          <w:sz w:val="24"/>
        </w:rPr>
        <w:t>discussing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editing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clinical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6"/>
          <w:sz w:val="24"/>
        </w:rPr>
        <w:t> </w:t>
      </w:r>
      <w:r>
        <w:rPr>
          <w:sz w:val="24"/>
        </w:rPr>
        <w:t>appointment</w:t>
      </w:r>
      <w:r>
        <w:rPr>
          <w:spacing w:val="-6"/>
          <w:sz w:val="24"/>
        </w:rPr>
        <w:t> </w:t>
      </w:r>
      <w:r>
        <w:rPr>
          <w:sz w:val="24"/>
        </w:rPr>
        <w:t>policies. See Jan. 23, 2020</w:t>
      </w:r>
      <w:r>
        <w:rPr>
          <w:spacing w:val="-1"/>
          <w:sz w:val="24"/>
        </w:rPr>
        <w:t> </w:t>
      </w:r>
      <w:r>
        <w:rPr>
          <w:sz w:val="24"/>
        </w:rPr>
        <w:t>notes for details on the sections reviewed and issues discussed.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5" w:after="0"/>
        <w:ind w:left="880" w:right="0" w:hanging="360"/>
        <w:jc w:val="left"/>
        <w:rPr>
          <w:sz w:val="24"/>
        </w:rPr>
      </w:pPr>
      <w:r>
        <w:rPr>
          <w:spacing w:val="-2"/>
          <w:sz w:val="24"/>
        </w:rPr>
        <w:t>February</w:t>
      </w: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37" w:lineRule="auto" w:before="0" w:after="0"/>
        <w:ind w:left="1601" w:right="362" w:hanging="360"/>
        <w:jc w:val="left"/>
        <w:rPr>
          <w:sz w:val="24"/>
        </w:rPr>
      </w:pPr>
      <w:r>
        <w:rPr>
          <w:sz w:val="24"/>
        </w:rPr>
        <w:t>Organized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clinical</w:t>
      </w:r>
      <w:r>
        <w:rPr>
          <w:spacing w:val="-8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appointment</w:t>
      </w:r>
      <w:r>
        <w:rPr>
          <w:spacing w:val="-5"/>
          <w:sz w:val="24"/>
        </w:rPr>
        <w:t> </w:t>
      </w:r>
      <w:r>
        <w:rPr>
          <w:sz w:val="24"/>
        </w:rPr>
        <w:t>policies to</w:t>
      </w:r>
      <w:r>
        <w:rPr>
          <w:spacing w:val="-8"/>
          <w:sz w:val="24"/>
        </w:rPr>
        <w:t> </w:t>
      </w:r>
      <w:r>
        <w:rPr>
          <w:sz w:val="24"/>
        </w:rPr>
        <w:t>remove</w:t>
      </w:r>
      <w:r>
        <w:rPr>
          <w:spacing w:val="-5"/>
          <w:sz w:val="24"/>
        </w:rPr>
        <w:t> </w:t>
      </w:r>
      <w:r>
        <w:rPr>
          <w:sz w:val="24"/>
        </w:rPr>
        <w:t>redundancy</w:t>
      </w:r>
      <w:r>
        <w:rPr>
          <w:spacing w:val="-4"/>
          <w:sz w:val="24"/>
        </w:rPr>
        <w:t> </w:t>
      </w:r>
      <w:r>
        <w:rPr>
          <w:sz w:val="24"/>
        </w:rPr>
        <w:t>and enhance clarity. Continued discussing and editing the clinical faculty appointment policies. See Feb. 20, 2020 notes for details on the sections reviewed and issues discussed.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sz w:val="24"/>
        </w:rPr>
      </w:pPr>
      <w:r>
        <w:rPr>
          <w:spacing w:val="-2"/>
          <w:sz w:val="24"/>
        </w:rPr>
        <w:t>March</w:t>
      </w: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37" w:lineRule="auto" w:before="2" w:after="0"/>
        <w:ind w:left="1601" w:right="266" w:hanging="360"/>
        <w:jc w:val="left"/>
        <w:rPr>
          <w:sz w:val="24"/>
        </w:rPr>
      </w:pPr>
      <w:r>
        <w:rPr>
          <w:sz w:val="24"/>
        </w:rPr>
        <w:t>Reviewed four options for salary increases for 2020-2021.</w:t>
      </w:r>
      <w:r>
        <w:rPr>
          <w:spacing w:val="40"/>
          <w:sz w:val="24"/>
        </w:rPr>
        <w:t> </w:t>
      </w:r>
      <w:r>
        <w:rPr>
          <w:sz w:val="24"/>
        </w:rPr>
        <w:t>Increases are given based</w:t>
      </w:r>
      <w:r>
        <w:rPr>
          <w:spacing w:val="-7"/>
          <w:sz w:val="24"/>
        </w:rPr>
        <w:t> </w:t>
      </w:r>
      <w:r>
        <w:rPr>
          <w:sz w:val="24"/>
        </w:rPr>
        <w:t>faculties</w:t>
      </w:r>
      <w:r>
        <w:rPr>
          <w:spacing w:val="-4"/>
          <w:sz w:val="24"/>
        </w:rPr>
        <w:t> </w:t>
      </w:r>
      <w:r>
        <w:rPr>
          <w:sz w:val="24"/>
        </w:rPr>
        <w:t>2019</w:t>
      </w:r>
      <w:r>
        <w:rPr>
          <w:spacing w:val="-8"/>
          <w:sz w:val="24"/>
        </w:rPr>
        <w:t> </w:t>
      </w:r>
      <w:r>
        <w:rPr>
          <w:sz w:val="24"/>
        </w:rPr>
        <w:t>Annual</w:t>
      </w:r>
      <w:r>
        <w:rPr>
          <w:spacing w:val="-8"/>
          <w:sz w:val="24"/>
        </w:rPr>
        <w:t> </w:t>
      </w:r>
      <w:r>
        <w:rPr>
          <w:sz w:val="24"/>
        </w:rPr>
        <w:t>Merit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ratings.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unanimously voted to recommend the </w:t>
      </w:r>
      <w:r>
        <w:rPr>
          <w:i/>
          <w:sz w:val="24"/>
        </w:rPr>
        <w:t>alternate variable </w:t>
      </w:r>
      <w:r>
        <w:rPr>
          <w:sz w:val="24"/>
        </w:rPr>
        <w:t>option for salary increases.</w:t>
      </w:r>
    </w:p>
    <w:p>
      <w:pPr>
        <w:pStyle w:val="ListParagraph"/>
        <w:numPr>
          <w:ilvl w:val="1"/>
          <w:numId w:val="1"/>
        </w:numPr>
        <w:tabs>
          <w:tab w:pos="1600" w:val="left" w:leader="none"/>
        </w:tabs>
        <w:spacing w:line="298" w:lineRule="exact" w:before="0" w:after="0"/>
        <w:ind w:left="1600" w:right="0" w:hanging="359"/>
        <w:jc w:val="left"/>
        <w:rPr>
          <w:sz w:val="24"/>
        </w:rPr>
      </w:pPr>
      <w:r>
        <w:rPr>
          <w:sz w:val="24"/>
        </w:rPr>
        <w:t>Reviewed</w:t>
      </w:r>
      <w:r>
        <w:rPr>
          <w:spacing w:val="-9"/>
          <w:sz w:val="24"/>
        </w:rPr>
        <w:t> </w:t>
      </w:r>
      <w:r>
        <w:rPr>
          <w:sz w:val="24"/>
        </w:rPr>
        <w:t>“Combined</w:t>
      </w:r>
      <w:r>
        <w:rPr>
          <w:spacing w:val="-7"/>
          <w:sz w:val="24"/>
        </w:rPr>
        <w:t> </w:t>
      </w:r>
      <w:r>
        <w:rPr>
          <w:sz w:val="24"/>
        </w:rPr>
        <w:t>Clinical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Policies”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finalized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minor </w:t>
      </w:r>
      <w:r>
        <w:rPr>
          <w:spacing w:val="-2"/>
          <w:sz w:val="24"/>
        </w:rPr>
        <w:t>edits.</w:t>
      </w: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32" w:lineRule="auto" w:before="6" w:after="0"/>
        <w:ind w:left="1601" w:right="1075" w:hanging="360"/>
        <w:jc w:val="left"/>
        <w:rPr>
          <w:sz w:val="24"/>
        </w:rPr>
      </w:pPr>
      <w:r>
        <w:rPr>
          <w:sz w:val="24"/>
        </w:rPr>
        <w:t>Examined</w:t>
      </w:r>
      <w:r>
        <w:rPr>
          <w:spacing w:val="-6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salaries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ranks/</w:t>
      </w:r>
      <w:r>
        <w:rPr>
          <w:spacing w:val="-6"/>
          <w:sz w:val="24"/>
        </w:rPr>
        <w:t> </w:t>
      </w:r>
      <w:r>
        <w:rPr>
          <w:sz w:val="24"/>
        </w:rPr>
        <w:t>compared IU</w:t>
      </w:r>
      <w:r>
        <w:rPr>
          <w:spacing w:val="-6"/>
          <w:sz w:val="24"/>
        </w:rPr>
        <w:t> </w:t>
      </w:r>
      <w:r>
        <w:rPr>
          <w:sz w:val="24"/>
        </w:rPr>
        <w:t>SoE</w:t>
      </w:r>
      <w:r>
        <w:rPr>
          <w:spacing w:val="-6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salaries</w:t>
      </w:r>
      <w:r>
        <w:rPr>
          <w:spacing w:val="-4"/>
          <w:sz w:val="24"/>
        </w:rPr>
        <w:t> </w:t>
      </w:r>
      <w:r>
        <w:rPr>
          <w:sz w:val="24"/>
        </w:rPr>
        <w:t>to education faculty salaries at other public AAU institutions.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sz w:val="24"/>
        </w:rPr>
      </w:pPr>
      <w:r>
        <w:rPr>
          <w:spacing w:val="-2"/>
          <w:sz w:val="24"/>
        </w:rPr>
        <w:t>April</w:t>
      </w:r>
    </w:p>
    <w:p>
      <w:pPr>
        <w:pStyle w:val="ListParagraph"/>
        <w:numPr>
          <w:ilvl w:val="1"/>
          <w:numId w:val="1"/>
        </w:numPr>
        <w:tabs>
          <w:tab w:pos="1601" w:val="left" w:leader="none"/>
        </w:tabs>
        <w:spacing w:line="232" w:lineRule="auto" w:before="6" w:after="0"/>
        <w:ind w:left="1601" w:right="326" w:hanging="360"/>
        <w:jc w:val="left"/>
        <w:rPr>
          <w:sz w:val="24"/>
        </w:rPr>
      </w:pPr>
      <w:r>
        <w:rPr>
          <w:sz w:val="24"/>
        </w:rPr>
        <w:t>Merged Lecturer Policies into Clinical Faculty Policies and reviewed them. See April.</w:t>
      </w:r>
      <w:r>
        <w:rPr>
          <w:spacing w:val="-3"/>
          <w:sz w:val="24"/>
        </w:rPr>
        <w:t> </w:t>
      </w:r>
      <w:r>
        <w:rPr>
          <w:sz w:val="24"/>
        </w:rPr>
        <w:t>16,</w:t>
      </w:r>
      <w:r>
        <w:rPr>
          <w:spacing w:val="-7"/>
          <w:sz w:val="24"/>
        </w:rPr>
        <w:t> </w:t>
      </w:r>
      <w:r>
        <w:rPr>
          <w:sz w:val="24"/>
        </w:rPr>
        <w:t>2020</w:t>
      </w:r>
      <w:r>
        <w:rPr>
          <w:spacing w:val="-2"/>
          <w:sz w:val="24"/>
        </w:rPr>
        <w:t> </w:t>
      </w:r>
      <w:r>
        <w:rPr>
          <w:sz w:val="24"/>
        </w:rPr>
        <w:t>notes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details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sections</w:t>
      </w:r>
      <w:r>
        <w:rPr>
          <w:spacing w:val="-3"/>
          <w:sz w:val="24"/>
        </w:rPr>
        <w:t> </w:t>
      </w:r>
      <w:r>
        <w:rPr>
          <w:sz w:val="24"/>
        </w:rPr>
        <w:t>reviewed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issues</w:t>
      </w:r>
      <w:r>
        <w:rPr>
          <w:spacing w:val="-3"/>
          <w:sz w:val="24"/>
        </w:rPr>
        <w:t> </w:t>
      </w:r>
      <w:r>
        <w:rPr>
          <w:sz w:val="24"/>
        </w:rPr>
        <w:t>discussed.</w:t>
      </w:r>
    </w:p>
    <w:p>
      <w:pPr>
        <w:pStyle w:val="ListParagraph"/>
        <w:numPr>
          <w:ilvl w:val="1"/>
          <w:numId w:val="1"/>
        </w:numPr>
        <w:tabs>
          <w:tab w:pos="1600" w:val="left" w:leader="none"/>
        </w:tabs>
        <w:spacing w:line="297" w:lineRule="exact" w:before="4" w:after="0"/>
        <w:ind w:left="1600" w:right="0" w:hanging="359"/>
        <w:jc w:val="left"/>
        <w:rPr>
          <w:sz w:val="24"/>
        </w:rPr>
      </w:pPr>
      <w:r>
        <w:rPr>
          <w:sz w:val="24"/>
        </w:rPr>
        <w:t>Reviewed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modified</w:t>
      </w:r>
      <w:r>
        <w:rPr>
          <w:spacing w:val="-6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items.</w:t>
      </w:r>
    </w:p>
    <w:p>
      <w:pPr>
        <w:pStyle w:val="ListParagraph"/>
        <w:numPr>
          <w:ilvl w:val="1"/>
          <w:numId w:val="1"/>
        </w:numPr>
        <w:tabs>
          <w:tab w:pos="1600" w:val="left" w:leader="none"/>
        </w:tabs>
        <w:spacing w:line="297" w:lineRule="exact" w:before="0" w:after="0"/>
        <w:ind w:left="1600" w:right="0" w:hanging="359"/>
        <w:jc w:val="left"/>
        <w:rPr>
          <w:sz w:val="24"/>
        </w:rPr>
      </w:pPr>
      <w:r>
        <w:rPr>
          <w:sz w:val="24"/>
        </w:rPr>
        <w:t>Discussed</w:t>
      </w:r>
      <w:r>
        <w:rPr>
          <w:spacing w:val="-8"/>
          <w:sz w:val="24"/>
        </w:rPr>
        <w:t> </w:t>
      </w:r>
      <w:r>
        <w:rPr>
          <w:sz w:val="24"/>
        </w:rPr>
        <w:t>action</w:t>
      </w:r>
      <w:r>
        <w:rPr>
          <w:spacing w:val="-6"/>
          <w:sz w:val="24"/>
        </w:rPr>
        <w:t> </w:t>
      </w:r>
      <w:r>
        <w:rPr>
          <w:sz w:val="24"/>
        </w:rPr>
        <w:t>items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2020-2021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shared</w:t>
      </w:r>
      <w:r>
        <w:rPr>
          <w:spacing w:val="-1"/>
          <w:sz w:val="24"/>
        </w:rPr>
        <w:t> </w:t>
      </w:r>
      <w:r>
        <w:rPr>
          <w:sz w:val="24"/>
        </w:rPr>
        <w:t>opinions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FAC</w:t>
      </w:r>
      <w:r>
        <w:rPr>
          <w:spacing w:val="-2"/>
          <w:sz w:val="24"/>
        </w:rPr>
        <w:t> meetings.</w:t>
      </w:r>
    </w:p>
    <w:p>
      <w:pPr>
        <w:pStyle w:val="BodyText"/>
        <w:spacing w:before="285"/>
        <w:ind w:left="160" w:firstLine="0"/>
      </w:pPr>
      <w:r>
        <w:rPr/>
        <w:t>Recommendations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Future</w:t>
      </w:r>
      <w:r>
        <w:rPr>
          <w:spacing w:val="-2"/>
        </w:rPr>
        <w:t> </w:t>
      </w:r>
      <w:r>
        <w:rPr/>
        <w:t>Action</w:t>
      </w:r>
      <w:r>
        <w:rPr>
          <w:spacing w:val="-7"/>
        </w:rPr>
        <w:t> </w:t>
      </w:r>
      <w:r>
        <w:rPr/>
        <w:t>(please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bulleted</w:t>
      </w:r>
      <w:r>
        <w:rPr>
          <w:spacing w:val="-2"/>
        </w:rPr>
        <w:t> list):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1" w:after="0"/>
        <w:ind w:left="881" w:right="643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committee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complete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developing criteria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promotion</w:t>
      </w:r>
      <w:r>
        <w:rPr>
          <w:spacing w:val="-7"/>
          <w:sz w:val="24"/>
        </w:rPr>
        <w:t> </w:t>
      </w:r>
      <w:r>
        <w:rPr>
          <w:sz w:val="24"/>
        </w:rPr>
        <w:t>from senior lecturer to teaching professor.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2" w:after="0"/>
        <w:ind w:left="881" w:right="425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committee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5"/>
          <w:sz w:val="24"/>
        </w:rPr>
        <w:t> </w:t>
      </w:r>
      <w:r>
        <w:rPr>
          <w:sz w:val="24"/>
        </w:rPr>
        <w:t>merging</w:t>
      </w:r>
      <w:r>
        <w:rPr>
          <w:spacing w:val="-5"/>
          <w:sz w:val="24"/>
        </w:rPr>
        <w:t> </w:t>
      </w:r>
      <w:r>
        <w:rPr>
          <w:sz w:val="24"/>
        </w:rPr>
        <w:t>clinical</w:t>
      </w:r>
      <w:r>
        <w:rPr>
          <w:spacing w:val="-4"/>
          <w:sz w:val="24"/>
        </w:rPr>
        <w:t> </w:t>
      </w:r>
      <w:r>
        <w:rPr>
          <w:sz w:val="24"/>
        </w:rPr>
        <w:t>appointment</w:t>
      </w:r>
      <w:r>
        <w:rPr>
          <w:spacing w:val="-6"/>
          <w:sz w:val="24"/>
        </w:rPr>
        <w:t> </w:t>
      </w:r>
      <w:r>
        <w:rPr>
          <w:sz w:val="24"/>
        </w:rPr>
        <w:t>policies.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includes</w:t>
      </w:r>
      <w:r>
        <w:rPr>
          <w:spacing w:val="-5"/>
          <w:sz w:val="24"/>
        </w:rPr>
        <w:t> </w:t>
      </w:r>
      <w:r>
        <w:rPr>
          <w:sz w:val="24"/>
        </w:rPr>
        <w:t>the following policies: 00.21R; 02.34; 05.14R; 05.38; 11.22R; 99.18R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1" w:after="0"/>
        <w:ind w:left="881" w:right="490" w:hanging="361"/>
        <w:jc w:val="left"/>
        <w:rPr>
          <w:sz w:val="24"/>
        </w:rPr>
      </w:pPr>
      <w:r>
        <w:rPr>
          <w:sz w:val="24"/>
        </w:rPr>
        <w:t>FAC will continue to review faculty related policies at all levels and make recommendations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revision,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special</w:t>
      </w:r>
      <w:r>
        <w:rPr>
          <w:spacing w:val="-4"/>
          <w:sz w:val="24"/>
        </w:rPr>
        <w:t> </w:t>
      </w:r>
      <w:r>
        <w:rPr>
          <w:sz w:val="24"/>
        </w:rPr>
        <w:t>focus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updating</w:t>
      </w:r>
      <w:r>
        <w:rPr>
          <w:spacing w:val="-4"/>
          <w:sz w:val="24"/>
        </w:rPr>
        <w:t> </w:t>
      </w:r>
      <w:r>
        <w:rPr>
          <w:sz w:val="24"/>
        </w:rPr>
        <w:t>language,</w:t>
      </w:r>
      <w:r>
        <w:rPr>
          <w:spacing w:val="-8"/>
          <w:sz w:val="24"/>
        </w:rPr>
        <w:t> </w:t>
      </w:r>
      <w:r>
        <w:rPr>
          <w:sz w:val="24"/>
        </w:rPr>
        <w:t>alignment with current practice, and priorities regarding diversity, equity, and inclusion. This includes the following policies: 03.28R; 09.48; 07.28; 13.33; 83.34; 17.26R; 05.45; </w:t>
      </w:r>
      <w:r>
        <w:rPr>
          <w:spacing w:val="-2"/>
          <w:sz w:val="24"/>
        </w:rPr>
        <w:t>11.53R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0" w:after="0"/>
        <w:ind w:left="881" w:right="208" w:hanging="361"/>
        <w:jc w:val="left"/>
        <w:rPr>
          <w:sz w:val="24"/>
        </w:rPr>
      </w:pPr>
      <w:r>
        <w:rPr>
          <w:sz w:val="24"/>
        </w:rPr>
        <w:t>Help Dean’s office put system in place to review faculty salaries on a three-year cycle. Professor salaries were reviewed in 2017-18, and associate faculty salaries were reviewed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2018-20.</w:t>
      </w:r>
      <w:r>
        <w:rPr>
          <w:spacing w:val="-4"/>
          <w:sz w:val="24"/>
        </w:rPr>
        <w:t> </w:t>
      </w:r>
      <w:r>
        <w:rPr>
          <w:sz w:val="24"/>
        </w:rPr>
        <w:t>Non-tenure-track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7"/>
          <w:sz w:val="24"/>
        </w:rPr>
        <w:t> </w:t>
      </w:r>
      <w:r>
        <w:rPr>
          <w:sz w:val="24"/>
        </w:rPr>
        <w:t>salaries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reviewed</w:t>
      </w:r>
      <w:r>
        <w:rPr>
          <w:spacing w:val="-7"/>
          <w:sz w:val="24"/>
        </w:rPr>
        <w:t> </w:t>
      </w:r>
      <w:r>
        <w:rPr>
          <w:sz w:val="24"/>
        </w:rPr>
        <w:t>along with one of the groups specified above.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when course</w:t>
      </w:r>
      <w:r>
        <w:rPr>
          <w:spacing w:val="-3"/>
          <w:sz w:val="24"/>
        </w:rPr>
        <w:t> </w:t>
      </w:r>
      <w:r>
        <w:rPr>
          <w:sz w:val="24"/>
        </w:rPr>
        <w:t>evaluations</w:t>
      </w:r>
      <w:r>
        <w:rPr>
          <w:spacing w:val="-2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merit</w:t>
      </w:r>
      <w:r>
        <w:rPr>
          <w:spacing w:val="2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P&amp;T.</w:t>
      </w:r>
    </w:p>
    <w:sectPr>
      <w:pgSz w:w="12240" w:h="15840"/>
      <w:pgMar w:top="1400" w:bottom="280" w:left="12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8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60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80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3277" w:right="2376" w:hanging="49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47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Nelson Laird</dc:creator>
  <dcterms:created xsi:type="dcterms:W3CDTF">2024-05-21T16:33:23Z</dcterms:created>
  <dcterms:modified xsi:type="dcterms:W3CDTF">2024-05-21T16:33:23Z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2016</vt:lpwstr>
  </property>
</Properties>
</file>