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Faculty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Budgetary</w:t>
      </w:r>
      <w:r>
        <w:rPr>
          <w:spacing w:val="-8"/>
        </w:rPr>
        <w:t> </w:t>
      </w:r>
      <w:r>
        <w:rPr/>
        <w:t>Affairs</w:t>
      </w:r>
      <w:r>
        <w:rPr>
          <w:spacing w:val="-10"/>
        </w:rPr>
        <w:t> </w:t>
      </w:r>
      <w:r>
        <w:rPr/>
        <w:t>Committee End of Year Report (2021-2022)</w:t>
      </w:r>
    </w:p>
    <w:p>
      <w:pPr>
        <w:pStyle w:val="BodyText"/>
        <w:spacing w:before="289"/>
        <w:ind w:left="160" w:firstLine="0"/>
      </w:pPr>
      <w:r>
        <w:rPr/>
        <w:t>Date:</w:t>
      </w:r>
      <w:r>
        <w:rPr>
          <w:spacing w:val="52"/>
        </w:rPr>
        <w:t> </w:t>
      </w:r>
      <w:r>
        <w:rPr/>
        <w:t>April</w:t>
      </w:r>
      <w:r>
        <w:rPr>
          <w:spacing w:val="-2"/>
        </w:rPr>
        <w:t> </w:t>
      </w:r>
      <w:r>
        <w:rPr/>
        <w:t>9,</w:t>
      </w:r>
      <w:r>
        <w:rPr>
          <w:spacing w:val="-11"/>
        </w:rPr>
        <w:t> </w:t>
      </w:r>
      <w:r>
        <w:rPr>
          <w:spacing w:val="-4"/>
        </w:rPr>
        <w:t>2022</w:t>
      </w:r>
    </w:p>
    <w:p>
      <w:pPr>
        <w:spacing w:before="292"/>
        <w:ind w:left="160" w:right="0" w:firstLine="0"/>
        <w:jc w:val="left"/>
        <w:rPr>
          <w:sz w:val="22"/>
        </w:rPr>
      </w:pPr>
      <w:r>
        <w:rPr>
          <w:color w:val="483A2F"/>
          <w:spacing w:val="-2"/>
          <w:sz w:val="22"/>
        </w:rPr>
        <w:t>Members</w:t>
      </w:r>
      <w:r>
        <w:rPr>
          <w:color w:val="483A2F"/>
          <w:spacing w:val="-1"/>
          <w:sz w:val="22"/>
        </w:rPr>
        <w:t> </w:t>
      </w:r>
      <w:r>
        <w:rPr>
          <w:color w:val="483A2F"/>
          <w:spacing w:val="-2"/>
          <w:sz w:val="22"/>
        </w:rPr>
        <w:t>(2021-</w:t>
      </w:r>
      <w:r>
        <w:rPr>
          <w:color w:val="483A2F"/>
          <w:spacing w:val="-4"/>
          <w:sz w:val="22"/>
        </w:rPr>
        <w:t>2022)</w:t>
      </w:r>
    </w:p>
    <w:tbl>
      <w:tblPr>
        <w:tblW w:w="0" w:type="auto"/>
        <w:jc w:val="left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3940"/>
        <w:gridCol w:w="2229"/>
      </w:tblGrid>
      <w:tr>
        <w:trPr>
          <w:trHeight w:val="266" w:hRule="atLeast"/>
        </w:trPr>
        <w:tc>
          <w:tcPr>
            <w:tcW w:w="2895" w:type="dxa"/>
            <w:shd w:val="clear" w:color="auto" w:fill="A6A6A6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483A2F"/>
                <w:spacing w:val="-4"/>
                <w:sz w:val="22"/>
              </w:rPr>
              <w:t>Name</w:t>
            </w:r>
          </w:p>
        </w:tc>
        <w:tc>
          <w:tcPr>
            <w:tcW w:w="3940" w:type="dxa"/>
            <w:shd w:val="clear" w:color="auto" w:fill="A6A6A6"/>
          </w:tcPr>
          <w:p>
            <w:pPr>
              <w:pStyle w:val="TableParagraph"/>
              <w:spacing w:line="246" w:lineRule="exact"/>
              <w:ind w:left="1516"/>
              <w:rPr>
                <w:sz w:val="22"/>
              </w:rPr>
            </w:pPr>
            <w:r>
              <w:rPr>
                <w:color w:val="483A2F"/>
                <w:spacing w:val="-2"/>
                <w:sz w:val="22"/>
              </w:rPr>
              <w:t>Department</w:t>
            </w:r>
          </w:p>
        </w:tc>
        <w:tc>
          <w:tcPr>
            <w:tcW w:w="2229" w:type="dxa"/>
            <w:shd w:val="clear" w:color="auto" w:fill="A6A6A6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83A2F"/>
                <w:sz w:val="22"/>
              </w:rPr>
              <w:t>E.</w:t>
            </w:r>
            <w:r>
              <w:rPr>
                <w:color w:val="483A2F"/>
                <w:spacing w:val="-2"/>
                <w:sz w:val="22"/>
              </w:rPr>
              <w:t> </w:t>
            </w:r>
            <w:r>
              <w:rPr>
                <w:color w:val="483A2F"/>
                <w:sz w:val="22"/>
              </w:rPr>
              <w:t>Boling,</w:t>
            </w:r>
            <w:r>
              <w:rPr>
                <w:color w:val="483A2F"/>
                <w:spacing w:val="-2"/>
                <w:sz w:val="22"/>
              </w:rPr>
              <w:t> Chair</w:t>
            </w:r>
          </w:p>
        </w:tc>
        <w:tc>
          <w:tcPr>
            <w:tcW w:w="3940" w:type="dxa"/>
          </w:tcPr>
          <w:p>
            <w:pPr>
              <w:pStyle w:val="TableParagraph"/>
              <w:ind w:left="1516"/>
              <w:rPr>
                <w:sz w:val="22"/>
              </w:rPr>
            </w:pPr>
            <w:r>
              <w:rPr>
                <w:color w:val="483A2F"/>
                <w:spacing w:val="-5"/>
                <w:sz w:val="22"/>
              </w:rPr>
              <w:t>IST</w:t>
            </w:r>
          </w:p>
        </w:tc>
        <w:tc>
          <w:tcPr>
            <w:tcW w:w="22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83A2F"/>
                <w:sz w:val="22"/>
              </w:rPr>
              <w:t>B.</w:t>
            </w:r>
            <w:r>
              <w:rPr>
                <w:color w:val="483A2F"/>
                <w:spacing w:val="-1"/>
                <w:sz w:val="22"/>
              </w:rPr>
              <w:t> </w:t>
            </w:r>
            <w:r>
              <w:rPr>
                <w:color w:val="483A2F"/>
                <w:spacing w:val="-2"/>
                <w:sz w:val="22"/>
              </w:rPr>
              <w:t>Dennis</w:t>
            </w:r>
          </w:p>
        </w:tc>
        <w:tc>
          <w:tcPr>
            <w:tcW w:w="3940" w:type="dxa"/>
            <w:shd w:val="clear" w:color="auto" w:fill="EFEFEF"/>
          </w:tcPr>
          <w:p>
            <w:pPr>
              <w:pStyle w:val="TableParagraph"/>
              <w:ind w:left="1516"/>
              <w:rPr>
                <w:sz w:val="22"/>
              </w:rPr>
            </w:pPr>
            <w:r>
              <w:rPr>
                <w:color w:val="483A2F"/>
                <w:spacing w:val="-5"/>
                <w:sz w:val="22"/>
              </w:rPr>
              <w:t>CEP</w:t>
            </w:r>
          </w:p>
        </w:tc>
        <w:tc>
          <w:tcPr>
            <w:tcW w:w="2229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83A2F"/>
                <w:sz w:val="22"/>
              </w:rPr>
              <w:t>R. </w:t>
            </w:r>
            <w:r>
              <w:rPr>
                <w:color w:val="483A2F"/>
                <w:spacing w:val="-2"/>
                <w:sz w:val="22"/>
              </w:rPr>
              <w:t>Kunzman</w:t>
            </w:r>
          </w:p>
        </w:tc>
        <w:tc>
          <w:tcPr>
            <w:tcW w:w="3940" w:type="dxa"/>
          </w:tcPr>
          <w:p>
            <w:pPr>
              <w:pStyle w:val="TableParagraph"/>
              <w:ind w:left="1516"/>
              <w:rPr>
                <w:sz w:val="22"/>
              </w:rPr>
            </w:pPr>
            <w:r>
              <w:rPr>
                <w:color w:val="483A2F"/>
                <w:spacing w:val="-5"/>
                <w:sz w:val="22"/>
              </w:rPr>
              <w:t>C&amp;I</w:t>
            </w:r>
          </w:p>
        </w:tc>
        <w:tc>
          <w:tcPr>
            <w:tcW w:w="22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895" w:type="dxa"/>
            <w:shd w:val="clear" w:color="auto" w:fill="EFEFEF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483A2F"/>
                <w:sz w:val="22"/>
              </w:rPr>
              <w:t>E. </w:t>
            </w:r>
            <w:r>
              <w:rPr>
                <w:color w:val="483A2F"/>
                <w:spacing w:val="-2"/>
                <w:sz w:val="22"/>
              </w:rPr>
              <w:t>Galindo</w:t>
            </w:r>
          </w:p>
        </w:tc>
        <w:tc>
          <w:tcPr>
            <w:tcW w:w="3940" w:type="dxa"/>
            <w:shd w:val="clear" w:color="auto" w:fill="EFEFEF"/>
          </w:tcPr>
          <w:p>
            <w:pPr>
              <w:pStyle w:val="TableParagraph"/>
              <w:spacing w:line="246" w:lineRule="exact"/>
              <w:ind w:left="1516"/>
              <w:rPr>
                <w:sz w:val="22"/>
              </w:rPr>
            </w:pPr>
            <w:r>
              <w:rPr>
                <w:color w:val="483A2F"/>
                <w:spacing w:val="-5"/>
                <w:sz w:val="22"/>
              </w:rPr>
              <w:t>C&amp;I</w:t>
            </w:r>
          </w:p>
        </w:tc>
        <w:tc>
          <w:tcPr>
            <w:tcW w:w="2229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89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color w:val="483A2F"/>
                <w:sz w:val="22"/>
              </w:rPr>
              <w:t>P.</w:t>
            </w:r>
            <w:r>
              <w:rPr>
                <w:color w:val="483A2F"/>
                <w:spacing w:val="1"/>
                <w:sz w:val="22"/>
              </w:rPr>
              <w:t> </w:t>
            </w:r>
            <w:r>
              <w:rPr>
                <w:color w:val="483A2F"/>
                <w:spacing w:val="-2"/>
                <w:sz w:val="22"/>
              </w:rPr>
              <w:t>Kubow</w:t>
            </w:r>
          </w:p>
        </w:tc>
        <w:tc>
          <w:tcPr>
            <w:tcW w:w="3940" w:type="dxa"/>
          </w:tcPr>
          <w:p>
            <w:pPr>
              <w:pStyle w:val="TableParagraph"/>
              <w:spacing w:line="256" w:lineRule="exact"/>
              <w:ind w:left="1516"/>
              <w:rPr>
                <w:sz w:val="22"/>
              </w:rPr>
            </w:pPr>
            <w:r>
              <w:rPr>
                <w:color w:val="483A2F"/>
                <w:spacing w:val="-4"/>
                <w:sz w:val="22"/>
              </w:rPr>
              <w:t>ELPS</w:t>
            </w:r>
          </w:p>
        </w:tc>
        <w:tc>
          <w:tcPr>
            <w:tcW w:w="22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2895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color w:val="483A2F"/>
                <w:sz w:val="22"/>
              </w:rPr>
              <w:t>A.</w:t>
            </w:r>
            <w:r>
              <w:rPr>
                <w:color w:val="483A2F"/>
                <w:spacing w:val="-3"/>
                <w:sz w:val="22"/>
              </w:rPr>
              <w:t> </w:t>
            </w:r>
            <w:r>
              <w:rPr>
                <w:color w:val="483A2F"/>
                <w:spacing w:val="-2"/>
                <w:sz w:val="22"/>
              </w:rPr>
              <w:t>Miller</w:t>
            </w:r>
          </w:p>
        </w:tc>
        <w:tc>
          <w:tcPr>
            <w:tcW w:w="3940" w:type="dxa"/>
          </w:tcPr>
          <w:p>
            <w:pPr>
              <w:pStyle w:val="TableParagraph"/>
              <w:spacing w:line="242" w:lineRule="exact"/>
              <w:ind w:left="1542"/>
              <w:rPr>
                <w:sz w:val="22"/>
              </w:rPr>
            </w:pPr>
            <w:r>
              <w:rPr>
                <w:color w:val="483A2F"/>
                <w:spacing w:val="-4"/>
                <w:sz w:val="22"/>
              </w:rPr>
              <w:t>ELPS</w:t>
            </w:r>
          </w:p>
        </w:tc>
        <w:tc>
          <w:tcPr>
            <w:tcW w:w="22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895" w:type="dxa"/>
            <w:shd w:val="clear" w:color="auto" w:fill="EFEFEF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483A2F"/>
                <w:sz w:val="22"/>
              </w:rPr>
              <w:t>M.</w:t>
            </w:r>
            <w:r>
              <w:rPr>
                <w:color w:val="483A2F"/>
                <w:spacing w:val="-2"/>
                <w:sz w:val="22"/>
              </w:rPr>
              <w:t> Jensen</w:t>
            </w:r>
          </w:p>
        </w:tc>
        <w:tc>
          <w:tcPr>
            <w:tcW w:w="394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  <w:shd w:val="clear" w:color="auto" w:fill="EFEFEF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color w:val="483A2F"/>
                <w:spacing w:val="-2"/>
                <w:sz w:val="22"/>
              </w:rPr>
              <w:t>Staff</w:t>
            </w: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83A2F"/>
                <w:sz w:val="22"/>
              </w:rPr>
              <w:t>S.</w:t>
            </w:r>
            <w:r>
              <w:rPr>
                <w:color w:val="483A2F"/>
                <w:spacing w:val="-5"/>
                <w:sz w:val="22"/>
              </w:rPr>
              <w:t> </w:t>
            </w:r>
            <w:r>
              <w:rPr>
                <w:color w:val="483A2F"/>
                <w:sz w:val="22"/>
              </w:rPr>
              <w:t>McLean</w:t>
            </w:r>
            <w:r>
              <w:rPr>
                <w:color w:val="483A2F"/>
                <w:spacing w:val="-2"/>
                <w:sz w:val="22"/>
              </w:rPr>
              <w:t> </w:t>
            </w:r>
            <w:r>
              <w:rPr>
                <w:color w:val="483A2F"/>
                <w:spacing w:val="-4"/>
                <w:sz w:val="22"/>
              </w:rPr>
              <w:t>Bent</w:t>
            </w:r>
          </w:p>
        </w:tc>
        <w:tc>
          <w:tcPr>
            <w:tcW w:w="39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color w:val="483A2F"/>
                <w:spacing w:val="-2"/>
                <w:sz w:val="22"/>
              </w:rPr>
              <w:t>Student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83A2F"/>
                <w:sz w:val="22"/>
              </w:rPr>
              <w:t>V.</w:t>
            </w:r>
            <w:r>
              <w:rPr>
                <w:color w:val="483A2F"/>
                <w:spacing w:val="-3"/>
                <w:sz w:val="22"/>
              </w:rPr>
              <w:t> </w:t>
            </w:r>
            <w:r>
              <w:rPr>
                <w:color w:val="483A2F"/>
                <w:spacing w:val="-2"/>
                <w:sz w:val="22"/>
              </w:rPr>
              <w:t>Torres</w:t>
            </w:r>
          </w:p>
        </w:tc>
        <w:tc>
          <w:tcPr>
            <w:tcW w:w="3940" w:type="dxa"/>
            <w:shd w:val="clear" w:color="auto" w:fill="EFEFEF"/>
          </w:tcPr>
          <w:p>
            <w:pPr>
              <w:pStyle w:val="TableParagraph"/>
              <w:ind w:left="1516"/>
              <w:rPr>
                <w:sz w:val="22"/>
              </w:rPr>
            </w:pPr>
            <w:r>
              <w:rPr>
                <w:color w:val="483A2F"/>
                <w:sz w:val="22"/>
              </w:rPr>
              <w:t>Executive</w:t>
            </w:r>
            <w:r>
              <w:rPr>
                <w:color w:val="483A2F"/>
                <w:spacing w:val="-8"/>
                <w:sz w:val="22"/>
              </w:rPr>
              <w:t> </w:t>
            </w:r>
            <w:r>
              <w:rPr>
                <w:color w:val="483A2F"/>
                <w:sz w:val="22"/>
              </w:rPr>
              <w:t>Associate</w:t>
            </w:r>
            <w:r>
              <w:rPr>
                <w:color w:val="483A2F"/>
                <w:spacing w:val="-6"/>
                <w:sz w:val="22"/>
              </w:rPr>
              <w:t> </w:t>
            </w:r>
            <w:r>
              <w:rPr>
                <w:color w:val="483A2F"/>
                <w:spacing w:val="-4"/>
                <w:sz w:val="22"/>
              </w:rPr>
              <w:t>Dean</w:t>
            </w:r>
          </w:p>
        </w:tc>
        <w:tc>
          <w:tcPr>
            <w:tcW w:w="2229" w:type="dxa"/>
            <w:shd w:val="clear" w:color="auto" w:fill="EFEFEF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color w:val="483A2F"/>
                <w:spacing w:val="-2"/>
                <w:sz w:val="22"/>
              </w:rPr>
              <w:t>Ex-Officio</w:t>
            </w:r>
          </w:p>
        </w:tc>
      </w:tr>
    </w:tbl>
    <w:p>
      <w:pPr>
        <w:pStyle w:val="BodyText"/>
        <w:spacing w:before="119"/>
        <w:ind w:left="0" w:firstLine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  <w:gridCol w:w="937"/>
        <w:gridCol w:w="5376"/>
      </w:tblGrid>
      <w:tr>
        <w:trPr>
          <w:trHeight w:val="254" w:hRule="atLeast"/>
        </w:trPr>
        <w:tc>
          <w:tcPr>
            <w:tcW w:w="1876" w:type="dxa"/>
          </w:tcPr>
          <w:p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Dates:</w:t>
            </w:r>
          </w:p>
        </w:tc>
        <w:tc>
          <w:tcPr>
            <w:tcW w:w="937" w:type="dxa"/>
          </w:tcPr>
          <w:p>
            <w:pPr>
              <w:pStyle w:val="TableParagraph"/>
              <w:spacing w:line="234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5376" w:type="dxa"/>
          </w:tcPr>
          <w:p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Sdeptember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18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line="234" w:lineRule="exact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5376" w:type="dxa"/>
          </w:tcPr>
          <w:p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BodyText"/>
        <w:spacing w:before="36"/>
        <w:ind w:left="0" w:firstLine="0"/>
        <w:rPr>
          <w:sz w:val="22"/>
        </w:rPr>
      </w:pPr>
    </w:p>
    <w:p>
      <w:pPr>
        <w:pStyle w:val="BodyText"/>
        <w:ind w:left="160" w:firstLine="0"/>
      </w:pPr>
      <w:r>
        <w:rPr/>
        <w:t>Goals</w:t>
      </w:r>
      <w:r>
        <w:rPr>
          <w:spacing w:val="-2"/>
        </w:rPr>
        <w:t> </w:t>
      </w:r>
      <w:r>
        <w:rPr/>
        <w:t>and Charges</w:t>
      </w:r>
      <w:r>
        <w:rPr>
          <w:spacing w:val="-2"/>
        </w:rPr>
        <w:t> </w:t>
      </w:r>
      <w:r>
        <w:rPr/>
        <w:t>(please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bulleted</w:t>
      </w:r>
      <w:r>
        <w:rPr>
          <w:spacing w:val="-2"/>
        </w:rPr>
        <w:t> list):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10" w:after="0"/>
        <w:ind w:left="87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sabbatical</w:t>
      </w:r>
      <w:r>
        <w:rPr>
          <w:spacing w:val="-2"/>
          <w:sz w:val="24"/>
        </w:rPr>
        <w:t> applications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" w:after="0"/>
        <w:ind w:left="880" w:right="67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promotion</w:t>
      </w:r>
      <w:r>
        <w:rPr>
          <w:spacing w:val="-3"/>
          <w:sz w:val="24"/>
        </w:rPr>
        <w:t> </w:t>
      </w:r>
      <w:r>
        <w:rPr>
          <w:sz w:val="24"/>
        </w:rPr>
        <w:t>from senior lecturer to teaching professor.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" w:after="0"/>
        <w:ind w:left="880" w:right="45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merging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z w:val="24"/>
        </w:rPr>
        <w:t>appointment</w:t>
      </w:r>
      <w:r>
        <w:rPr>
          <w:spacing w:val="-4"/>
          <w:sz w:val="24"/>
        </w:rPr>
        <w:t> </w:t>
      </w:r>
      <w:r>
        <w:rPr>
          <w:sz w:val="24"/>
        </w:rPr>
        <w:t>policies.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5"/>
          <w:sz w:val="24"/>
        </w:rPr>
        <w:t> </w:t>
      </w:r>
      <w:r>
        <w:rPr>
          <w:sz w:val="24"/>
        </w:rPr>
        <w:t>the following policies: 00.21R; 02.34; 05.14R; 05.38; 11.22R; 99.18R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7" w:after="0"/>
        <w:ind w:left="880" w:right="518" w:hanging="360"/>
        <w:jc w:val="left"/>
        <w:rPr>
          <w:sz w:val="24"/>
        </w:rPr>
      </w:pPr>
      <w:r>
        <w:rPr>
          <w:sz w:val="24"/>
        </w:rPr>
        <w:t>FAC will continue to review faculty related policies at all levels and make recommendations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revision,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5"/>
          <w:sz w:val="24"/>
        </w:rPr>
        <w:t> </w:t>
      </w:r>
      <w:r>
        <w:rPr>
          <w:sz w:val="24"/>
        </w:rPr>
        <w:t>focus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updating</w:t>
      </w:r>
      <w:r>
        <w:rPr>
          <w:spacing w:val="-5"/>
          <w:sz w:val="24"/>
        </w:rPr>
        <w:t> </w:t>
      </w:r>
      <w:r>
        <w:rPr>
          <w:sz w:val="24"/>
        </w:rPr>
        <w:t>language,</w:t>
      </w:r>
      <w:r>
        <w:rPr>
          <w:spacing w:val="-5"/>
          <w:sz w:val="24"/>
        </w:rPr>
        <w:t> </w:t>
      </w:r>
      <w:r>
        <w:rPr>
          <w:sz w:val="24"/>
        </w:rPr>
        <w:t>alignment with current practice, and priorities regarding diversity, equity, and inclusion. This includes the following policies: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9" w:after="0"/>
        <w:ind w:left="1598" w:right="0" w:hanging="359"/>
        <w:jc w:val="left"/>
        <w:rPr>
          <w:sz w:val="24"/>
        </w:rPr>
      </w:pPr>
      <w:r>
        <w:rPr>
          <w:sz w:val="24"/>
        </w:rPr>
        <w:t>03.28R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Administrators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</w:tabs>
        <w:spacing w:line="240" w:lineRule="auto" w:before="2" w:after="0"/>
        <w:ind w:left="1599" w:right="0" w:hanging="359"/>
        <w:jc w:val="left"/>
        <w:rPr>
          <w:sz w:val="24"/>
        </w:rPr>
      </w:pPr>
      <w:r>
        <w:rPr>
          <w:sz w:val="24"/>
        </w:rPr>
        <w:t>09.48</w:t>
      </w:r>
      <w:r>
        <w:rPr>
          <w:spacing w:val="-3"/>
          <w:sz w:val="24"/>
        </w:rPr>
        <w:t> </w:t>
      </w:r>
      <w:r>
        <w:rPr>
          <w:sz w:val="24"/>
        </w:rPr>
        <w:t>Participation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Associate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P&amp;T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Committees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</w:tabs>
        <w:spacing w:line="240" w:lineRule="auto" w:before="2" w:after="0"/>
        <w:ind w:left="1599" w:right="0" w:hanging="359"/>
        <w:jc w:val="left"/>
        <w:rPr>
          <w:sz w:val="24"/>
        </w:rPr>
      </w:pPr>
      <w:r>
        <w:rPr>
          <w:sz w:val="24"/>
        </w:rPr>
        <w:t>07.28</w:t>
      </w:r>
      <w:r>
        <w:rPr>
          <w:spacing w:val="-2"/>
          <w:sz w:val="24"/>
        </w:rPr>
        <w:t> </w:t>
      </w:r>
      <w:r>
        <w:rPr>
          <w:sz w:val="24"/>
        </w:rPr>
        <w:t>Conflicts</w:t>
      </w:r>
      <w:r>
        <w:rPr>
          <w:spacing w:val="-2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Commitment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2" w:after="0"/>
        <w:ind w:left="1598" w:right="0" w:hanging="359"/>
        <w:jc w:val="left"/>
        <w:rPr>
          <w:sz w:val="24"/>
        </w:rPr>
      </w:pPr>
      <w:r>
        <w:rPr>
          <w:sz w:val="24"/>
        </w:rPr>
        <w:t>13.33</w:t>
      </w:r>
      <w:r>
        <w:rPr>
          <w:spacing w:val="-5"/>
          <w:sz w:val="24"/>
        </w:rPr>
        <w:t> </w:t>
      </w: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on Appointment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Promotion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Adjunct</w:t>
      </w:r>
      <w:r>
        <w:rPr>
          <w:spacing w:val="-2"/>
          <w:sz w:val="24"/>
        </w:rPr>
        <w:t> Faculty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1" w:after="0"/>
        <w:ind w:left="1598" w:right="0" w:hanging="359"/>
        <w:jc w:val="left"/>
        <w:rPr>
          <w:sz w:val="24"/>
        </w:rPr>
      </w:pPr>
      <w:r>
        <w:rPr>
          <w:sz w:val="24"/>
        </w:rPr>
        <w:t>83.34</w:t>
      </w:r>
      <w:r>
        <w:rPr>
          <w:spacing w:val="-1"/>
          <w:sz w:val="24"/>
        </w:rPr>
        <w:t> </w:t>
      </w:r>
      <w:r>
        <w:rPr>
          <w:sz w:val="24"/>
        </w:rPr>
        <w:t>Selection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Dept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Chair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300" w:lineRule="exact" w:before="2" w:after="0"/>
        <w:ind w:left="1598" w:right="0" w:hanging="359"/>
        <w:jc w:val="left"/>
        <w:rPr>
          <w:sz w:val="24"/>
        </w:rPr>
      </w:pPr>
      <w:r>
        <w:rPr>
          <w:sz w:val="24"/>
        </w:rPr>
        <w:t>17.26R</w:t>
      </w:r>
      <w:r>
        <w:rPr>
          <w:spacing w:val="-2"/>
          <w:sz w:val="24"/>
        </w:rPr>
        <w:t> </w:t>
      </w:r>
      <w:r>
        <w:rPr>
          <w:sz w:val="24"/>
        </w:rPr>
        <w:t>Ratio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Courses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Faculty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300" w:lineRule="exact" w:before="0" w:after="0"/>
        <w:ind w:left="1598" w:right="0" w:hanging="359"/>
        <w:jc w:val="left"/>
        <w:rPr>
          <w:sz w:val="24"/>
        </w:rPr>
      </w:pPr>
      <w:r>
        <w:rPr>
          <w:spacing w:val="-2"/>
          <w:sz w:val="24"/>
        </w:rPr>
        <w:t>05.45R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Policy-for-Promotion-and-Tenure-Committee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2" w:after="0"/>
        <w:ind w:left="1598" w:right="0" w:hanging="359"/>
        <w:jc w:val="left"/>
        <w:rPr>
          <w:sz w:val="24"/>
        </w:rPr>
      </w:pPr>
      <w:r>
        <w:rPr>
          <w:sz w:val="24"/>
        </w:rPr>
        <w:t>11.53R</w:t>
      </w:r>
      <w:r>
        <w:rPr>
          <w:spacing w:val="-5"/>
          <w:sz w:val="24"/>
        </w:rPr>
        <w:t> </w:t>
      </w:r>
      <w:r>
        <w:rPr>
          <w:sz w:val="24"/>
        </w:rPr>
        <w:t>Promotion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Tenure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Tenure-Track</w:t>
      </w:r>
      <w:r>
        <w:rPr>
          <w:spacing w:val="-2"/>
          <w:sz w:val="24"/>
        </w:rPr>
        <w:t> Faculty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2" w:after="0"/>
        <w:ind w:left="880" w:right="510" w:hanging="360"/>
        <w:jc w:val="left"/>
        <w:rPr>
          <w:sz w:val="24"/>
        </w:rPr>
      </w:pPr>
      <w:r>
        <w:rPr>
          <w:sz w:val="24"/>
        </w:rPr>
        <w:t>How to review the policies and see unintended negative consequences of equity/diversity/inclusion.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percentage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non-tenure</w:t>
      </w:r>
      <w:r>
        <w:rPr>
          <w:spacing w:val="-5"/>
          <w:sz w:val="24"/>
        </w:rPr>
        <w:t> </w:t>
      </w:r>
      <w:r>
        <w:rPr>
          <w:sz w:val="24"/>
        </w:rPr>
        <w:t>track</w:t>
      </w:r>
      <w:r>
        <w:rPr>
          <w:spacing w:val="-5"/>
          <w:sz w:val="24"/>
        </w:rPr>
        <w:t> </w:t>
      </w:r>
      <w:r>
        <w:rPr>
          <w:sz w:val="24"/>
        </w:rPr>
        <w:t>faculty from 99.18R to policy 7.26R, the ratio of courses taught policy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" w:after="0"/>
        <w:ind w:left="880" w:right="241" w:hanging="360"/>
        <w:jc w:val="left"/>
        <w:rPr>
          <w:sz w:val="24"/>
        </w:rPr>
      </w:pPr>
      <w:r>
        <w:rPr>
          <w:sz w:val="24"/>
        </w:rPr>
        <w:t>Help Dean’s office put system in place to review faculty salaries on a three-year cycle. Professor salaries were reviewed in 2017-18, and associate faculty salaries were reviewed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2018-20.</w:t>
      </w:r>
      <w:r>
        <w:rPr>
          <w:spacing w:val="-6"/>
          <w:sz w:val="24"/>
        </w:rPr>
        <w:t> </w:t>
      </w:r>
      <w:r>
        <w:rPr>
          <w:sz w:val="24"/>
        </w:rPr>
        <w:t>Non-tenure-track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salaries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along with one of the groups specified above.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9" w:after="0"/>
        <w:ind w:left="879" w:right="0" w:hanging="359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evaluations</w:t>
      </w:r>
      <w:r>
        <w:rPr>
          <w:spacing w:val="-2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merit review and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P&amp;T.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280" w:right="1340"/>
        </w:sectPr>
      </w:pPr>
    </w:p>
    <w:p>
      <w:pPr>
        <w:pStyle w:val="BodyText"/>
        <w:spacing w:before="38"/>
        <w:ind w:left="160" w:firstLine="0"/>
      </w:pPr>
      <w:r>
        <w:rPr/>
        <w:t>Actions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(please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bulleted</w:t>
      </w:r>
      <w:r>
        <w:rPr>
          <w:spacing w:val="1"/>
        </w:rPr>
        <w:t> </w:t>
      </w:r>
      <w:r>
        <w:rPr>
          <w:spacing w:val="-2"/>
        </w:rPr>
        <w:t>list):</w:t>
      </w:r>
    </w:p>
    <w:p>
      <w:pPr>
        <w:pStyle w:val="BodyText"/>
        <w:spacing w:before="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2" w:lineRule="auto" w:before="0" w:after="0"/>
        <w:ind w:left="880" w:right="192" w:hanging="360"/>
        <w:jc w:val="left"/>
        <w:rPr>
          <w:sz w:val="24"/>
        </w:rPr>
      </w:pPr>
      <w:r>
        <w:rPr>
          <w:sz w:val="24"/>
        </w:rPr>
        <w:t>Review of all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charged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committee.</w:t>
      </w:r>
      <w:r>
        <w:rPr>
          <w:spacing w:val="-5"/>
          <w:sz w:val="24"/>
        </w:rPr>
        <w:t> </w:t>
      </w:r>
      <w:r>
        <w:rPr>
          <w:sz w:val="24"/>
        </w:rPr>
        <w:t>Notes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revisions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logged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Canvas site for the committee; two were completed and forwarded to the Policy </w:t>
      </w:r>
      <w:r>
        <w:rPr>
          <w:spacing w:val="-2"/>
          <w:sz w:val="24"/>
        </w:rPr>
        <w:t>Council.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53" w:lineRule="exact" w:before="12" w:after="0"/>
        <w:ind w:left="1598" w:right="0" w:hanging="359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Policies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on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Research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Scientist,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Clinical,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Lecturer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pacing w:val="-2"/>
          <w:sz w:val="16"/>
        </w:rPr>
        <w:t>Faculty</w:t>
      </w:r>
    </w:p>
    <w:p>
      <w:pPr>
        <w:spacing w:line="165" w:lineRule="exact" w:before="0"/>
        <w:ind w:left="1600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Formerly: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99.18R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Clinical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Faculty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Ranks,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05.14R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Long-Term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Contract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Promotion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Criteria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pacing w:val="-5"/>
          <w:sz w:val="16"/>
        </w:rPr>
        <w:t>for</w:t>
      </w:r>
    </w:p>
    <w:p>
      <w:pPr>
        <w:spacing w:before="0"/>
        <w:ind w:left="1600" w:right="634" w:firstLine="0"/>
        <w:jc w:val="both"/>
        <w:rPr>
          <w:sz w:val="20"/>
        </w:rPr>
      </w:pPr>
      <w:r>
        <w:rPr>
          <w:rFonts w:ascii="Arial" w:hAnsi="Arial"/>
          <w:sz w:val="16"/>
        </w:rPr>
        <w:t>Clinical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Faculty,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02.34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IUB Clinical Appointments,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11.22R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Clinical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Faculty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Third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Year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Review, 05.38 –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Professional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Leaves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Clinical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Faculty,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18.45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IU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Bloomington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Lecturer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Rank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Appointments,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17.46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– IU Bloomington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Lecturer Promotion and Long Term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Contracts,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Promotion Criteria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for Research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Scientist Ranks - 16.46R; </w:t>
      </w:r>
      <w:r>
        <w:rPr>
          <w:sz w:val="20"/>
        </w:rPr>
        <w:t>forwarded to Policy Council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</w:tabs>
        <w:spacing w:line="261" w:lineRule="exact" w:before="14" w:after="0"/>
        <w:ind w:left="1599" w:right="0" w:hanging="359"/>
        <w:jc w:val="left"/>
        <w:rPr>
          <w:sz w:val="20"/>
        </w:rPr>
      </w:pPr>
      <w:r>
        <w:rPr>
          <w:rFonts w:ascii="Arial" w:hAnsi="Arial"/>
          <w:sz w:val="16"/>
        </w:rPr>
        <w:t>11.53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--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IUB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Promotion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Tenure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Guidelines;</w:t>
      </w:r>
      <w:r>
        <w:rPr>
          <w:rFonts w:ascii="Arial" w:hAnsi="Arial"/>
          <w:spacing w:val="-3"/>
          <w:sz w:val="16"/>
        </w:rPr>
        <w:t> </w:t>
      </w:r>
      <w:r>
        <w:rPr>
          <w:sz w:val="20"/>
        </w:rPr>
        <w:t>forwarded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Council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81" w:lineRule="exact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and recommendation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sabbatical</w:t>
      </w:r>
      <w:r>
        <w:rPr>
          <w:spacing w:val="-4"/>
          <w:sz w:val="24"/>
        </w:rPr>
        <w:t> </w:t>
      </w:r>
      <w:r>
        <w:rPr>
          <w:sz w:val="24"/>
        </w:rPr>
        <w:t>review </w:t>
      </w:r>
      <w:r>
        <w:rPr>
          <w:spacing w:val="-2"/>
          <w:sz w:val="24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2" w:lineRule="exact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Review and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NTT salaries</w:t>
      </w:r>
      <w:r>
        <w:rPr>
          <w:spacing w:val="-2"/>
          <w:sz w:val="24"/>
        </w:rPr>
        <w:t> </w:t>
      </w:r>
      <w:r>
        <w:rPr>
          <w:sz w:val="24"/>
        </w:rPr>
        <w:t>carried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EAD.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37" w:lineRule="auto" w:before="2" w:after="0"/>
        <w:ind w:left="879" w:right="280" w:hanging="360"/>
        <w:jc w:val="left"/>
        <w:rPr>
          <w:sz w:val="24"/>
        </w:rPr>
      </w:pPr>
      <w:r>
        <w:rPr>
          <w:sz w:val="24"/>
        </w:rPr>
        <w:t>A subcommittee of the FABA investigated potential processes for implementing a "rolling</w:t>
      </w:r>
      <w:r>
        <w:rPr>
          <w:spacing w:val="-5"/>
          <w:sz w:val="24"/>
        </w:rPr>
        <w:t> </w:t>
      </w:r>
      <w:r>
        <w:rPr>
          <w:sz w:val="24"/>
        </w:rPr>
        <w:t>three-year</w:t>
      </w:r>
      <w:r>
        <w:rPr>
          <w:spacing w:val="-5"/>
          <w:sz w:val="24"/>
        </w:rPr>
        <w:t> </w:t>
      </w:r>
      <w:r>
        <w:rPr>
          <w:sz w:val="24"/>
        </w:rPr>
        <w:t>window"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merit</w:t>
      </w:r>
      <w:r>
        <w:rPr>
          <w:spacing w:val="-1"/>
          <w:sz w:val="24"/>
        </w:rPr>
        <w:t> </w:t>
      </w:r>
      <w:r>
        <w:rPr>
          <w:sz w:val="24"/>
        </w:rPr>
        <w:t>reviews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concluded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is not common at peer institutions, not practicable, and not recommended. The committee recommended to the Policy Council that such a plan not be adopted. This was accepted by Policy Council.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7" w:lineRule="auto" w:before="0" w:after="0"/>
        <w:ind w:left="880" w:right="406" w:hanging="360"/>
        <w:jc w:val="left"/>
        <w:rPr>
          <w:sz w:val="24"/>
        </w:rPr>
      </w:pPr>
      <w:r>
        <w:rPr>
          <w:sz w:val="24"/>
        </w:rPr>
        <w:t>Resulting from the discussion of merit review, the committee further proposed elimination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"O"</w:t>
      </w:r>
      <w:r>
        <w:rPr>
          <w:spacing w:val="-5"/>
          <w:sz w:val="24"/>
        </w:rPr>
        <w:t> </w:t>
      </w:r>
      <w:r>
        <w:rPr>
          <w:sz w:val="24"/>
        </w:rPr>
        <w:t>ranking,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limitations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"E"</w:t>
      </w:r>
      <w:r>
        <w:rPr>
          <w:spacing w:val="-3"/>
          <w:sz w:val="24"/>
        </w:rPr>
        <w:t> </w:t>
      </w:r>
      <w:r>
        <w:rPr>
          <w:sz w:val="24"/>
        </w:rPr>
        <w:t>rankings</w:t>
      </w:r>
      <w:r>
        <w:rPr>
          <w:spacing w:val="-3"/>
          <w:sz w:val="24"/>
        </w:rPr>
        <w:t> </w:t>
      </w:r>
      <w:r>
        <w:rPr>
          <w:sz w:val="24"/>
        </w:rPr>
        <w:t>allowed by department and school-wide. Approved at Policy Council.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7" w:lineRule="auto" w:before="0" w:after="0"/>
        <w:ind w:left="880" w:right="301" w:hanging="360"/>
        <w:jc w:val="left"/>
        <w:rPr>
          <w:sz w:val="24"/>
        </w:rPr>
      </w:pPr>
      <w:r>
        <w:rPr>
          <w:sz w:val="24"/>
        </w:rPr>
        <w:t>As communicated to the faculty last year, the committee recommended to Policy Council</w:t>
      </w:r>
      <w:r>
        <w:rPr>
          <w:spacing w:val="-4"/>
          <w:sz w:val="24"/>
        </w:rPr>
        <w:t> </w:t>
      </w:r>
      <w:r>
        <w:rPr>
          <w:sz w:val="24"/>
        </w:rPr>
        <w:t>that merit</w:t>
      </w:r>
      <w:r>
        <w:rPr>
          <w:spacing w:val="-3"/>
          <w:sz w:val="24"/>
        </w:rPr>
        <w:t> </w:t>
      </w:r>
      <w:r>
        <w:rPr>
          <w:sz w:val="24"/>
        </w:rPr>
        <w:t>reviews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2021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conducted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2019, 2020 or 2021 as chosen by the individual member of faculty. Approved at Policy </w:t>
      </w:r>
      <w:r>
        <w:rPr>
          <w:spacing w:val="-2"/>
          <w:sz w:val="24"/>
        </w:rPr>
        <w:t>Council.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37" w:lineRule="auto" w:before="0" w:after="0"/>
        <w:ind w:left="879" w:right="272" w:hanging="360"/>
        <w:jc w:val="left"/>
        <w:rPr>
          <w:sz w:val="24"/>
        </w:rPr>
      </w:pPr>
      <w:r>
        <w:rPr>
          <w:sz w:val="24"/>
        </w:rPr>
        <w:t>Requested by the EAD to consider a plan for streamlining the process for selection of department chairs, the committee reviewed and compared all current processes most recently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proposed a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across departments. After requests for revision of the initial proposal, the committee incorporated those requests and returned the proposal to the Policy Council where it was adopted.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7" w:lineRule="auto" w:before="0" w:after="0"/>
        <w:ind w:left="880" w:right="410" w:hanging="360"/>
        <w:jc w:val="left"/>
        <w:rPr>
          <w:sz w:val="24"/>
        </w:rPr>
      </w:pPr>
      <w:r>
        <w:rPr>
          <w:sz w:val="24"/>
        </w:rPr>
        <w:t>Developed a proposed requirement for face to face meetings except in situations of verified</w:t>
      </w:r>
      <w:r>
        <w:rPr>
          <w:spacing w:val="-4"/>
          <w:sz w:val="24"/>
        </w:rPr>
        <w:t> </w:t>
      </w:r>
      <w:r>
        <w:rPr>
          <w:sz w:val="24"/>
        </w:rPr>
        <w:t>imapired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5"/>
          <w:sz w:val="24"/>
        </w:rPr>
        <w:t> </w:t>
      </w:r>
      <w:r>
        <w:rPr>
          <w:sz w:val="24"/>
        </w:rPr>
        <w:t>requiring</w:t>
      </w:r>
      <w:r>
        <w:rPr>
          <w:spacing w:val="-5"/>
          <w:sz w:val="24"/>
        </w:rPr>
        <w:t> </w:t>
      </w:r>
      <w:r>
        <w:rPr>
          <w:sz w:val="24"/>
        </w:rPr>
        <w:t>distance</w:t>
      </w:r>
      <w:r>
        <w:rPr>
          <w:spacing w:val="-4"/>
          <w:sz w:val="24"/>
        </w:rPr>
        <w:t> </w:t>
      </w:r>
      <w:r>
        <w:rPr>
          <w:sz w:val="24"/>
        </w:rPr>
        <w:t>participation;</w:t>
      </w:r>
      <w:r>
        <w:rPr>
          <w:spacing w:val="-4"/>
          <w:sz w:val="24"/>
        </w:rPr>
        <w:t> </w:t>
      </w:r>
      <w:r>
        <w:rPr>
          <w:sz w:val="24"/>
        </w:rPr>
        <w:t>forwarded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Council.</w:t>
      </w:r>
    </w:p>
    <w:p>
      <w:pPr>
        <w:pStyle w:val="BodyText"/>
        <w:spacing w:before="288"/>
        <w:ind w:left="160" w:firstLine="0"/>
      </w:pPr>
      <w:r>
        <w:rPr/>
        <w:t>Recommendations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Action</w:t>
      </w:r>
      <w:r>
        <w:rPr>
          <w:spacing w:val="-4"/>
        </w:rPr>
        <w:t> </w:t>
      </w:r>
      <w:r>
        <w:rPr/>
        <w:t>(please</w:t>
      </w:r>
      <w:r>
        <w:rPr>
          <w:spacing w:val="-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bulleted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4" w:after="0"/>
        <w:ind w:left="880" w:right="69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promotion</w:t>
      </w:r>
      <w:r>
        <w:rPr>
          <w:spacing w:val="-22"/>
          <w:sz w:val="24"/>
        </w:rPr>
        <w:t> </w:t>
      </w:r>
      <w:r>
        <w:rPr>
          <w:sz w:val="24"/>
        </w:rPr>
        <w:t>from senior lecturer to teaching professor.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7" w:lineRule="auto" w:before="0" w:after="0"/>
        <w:ind w:left="880" w:right="376" w:hanging="360"/>
        <w:jc w:val="left"/>
        <w:rPr>
          <w:sz w:val="24"/>
        </w:rPr>
      </w:pPr>
      <w:r>
        <w:rPr>
          <w:sz w:val="24"/>
        </w:rPr>
        <w:t>This committee will take up in 22-23 the charge from the EAD to draft an integrated policy</w:t>
      </w:r>
      <w:r>
        <w:rPr>
          <w:spacing w:val="-4"/>
          <w:sz w:val="24"/>
        </w:rPr>
        <w:t> </w:t>
      </w:r>
      <w:r>
        <w:rPr>
          <w:sz w:val="24"/>
        </w:rPr>
        <w:t>encompassing</w:t>
      </w:r>
      <w:r>
        <w:rPr>
          <w:spacing w:val="-6"/>
          <w:sz w:val="24"/>
        </w:rPr>
        <w:t> </w:t>
      </w:r>
      <w:r>
        <w:rPr>
          <w:sz w:val="24"/>
        </w:rPr>
        <w:t>search,</w:t>
      </w:r>
      <w:r>
        <w:rPr>
          <w:spacing w:val="-3"/>
          <w:sz w:val="24"/>
        </w:rPr>
        <w:t> </w:t>
      </w:r>
      <w:r>
        <w:rPr>
          <w:sz w:val="24"/>
        </w:rPr>
        <w:t>appointment,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removal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Chairs, Associate Deans and Center Directors in the SoE.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3" w:after="0"/>
        <w:ind w:left="880" w:right="1103" w:hanging="360"/>
        <w:jc w:val="left"/>
        <w:rPr>
          <w:sz w:val="24"/>
        </w:rPr>
      </w:pPr>
      <w:r>
        <w:rPr>
          <w:sz w:val="24"/>
        </w:rPr>
        <w:t>FABA will complete discussion of policies for which draft reviews have been conducted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regular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reviews</w:t>
      </w:r>
      <w:r>
        <w:rPr>
          <w:spacing w:val="-3"/>
          <w:sz w:val="24"/>
        </w:rPr>
        <w:t> </w:t>
      </w:r>
      <w:r>
        <w:rPr>
          <w:sz w:val="24"/>
        </w:rPr>
        <w:t>going</w:t>
      </w:r>
      <w:r>
        <w:rPr>
          <w:spacing w:val="-5"/>
          <w:sz w:val="24"/>
        </w:rPr>
        <w:t> </w:t>
      </w:r>
      <w:r>
        <w:rPr>
          <w:sz w:val="24"/>
        </w:rPr>
        <w:t>forward.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5" w:after="0"/>
        <w:ind w:left="880" w:right="114" w:hanging="360"/>
        <w:jc w:val="left"/>
        <w:rPr>
          <w:sz w:val="24"/>
        </w:rPr>
      </w:pPr>
      <w:r>
        <w:rPr>
          <w:sz w:val="24"/>
        </w:rPr>
        <w:t>Discuss what to do when course evaluations cannot be used for merit review and</w:t>
      </w:r>
      <w:r>
        <w:rPr>
          <w:spacing w:val="-30"/>
          <w:sz w:val="24"/>
        </w:rPr>
        <w:t> </w:t>
      </w:r>
      <w:r>
        <w:rPr>
          <w:sz w:val="24"/>
        </w:rPr>
        <w:t>P&amp;T, with guidance from the EAD regarding any campus decisions/examples we might use, including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situations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repeat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pandemic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applying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policy.</w:t>
      </w:r>
    </w:p>
    <w:sectPr>
      <w:pgSz w:w="12240" w:h="15840"/>
      <w:pgMar w:top="1360" w:bottom="280" w:left="12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8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3275" w:right="2411" w:hanging="49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Nelson Laird</dc:creator>
  <dcterms:created xsi:type="dcterms:W3CDTF">2024-05-21T16:31:40Z</dcterms:created>
  <dcterms:modified xsi:type="dcterms:W3CDTF">2024-05-21T16:31:40Z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D:20220411151953</vt:lpwstr>
  </property>
</Properties>
</file>