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05D1" w:rsidR="001A50A1" w:rsidP="001A50A1" w:rsidRDefault="001A50A1" w14:paraId="0B1F1159" w14:textId="6116ECF8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Early Field Experience Evaluation</w:t>
      </w:r>
    </w:p>
    <w:p w:rsidRPr="008E05D1" w:rsidR="001A50A1" w:rsidP="001A50A1" w:rsidRDefault="001A50A1" w14:paraId="2EAA5C4E" w14:textId="77777777">
      <w:pPr>
        <w:pStyle w:val="paragraph"/>
        <w:spacing w:before="0" w:beforeAutospacing="0" w:after="0" w:afterAutospacing="0"/>
        <w:ind w:right="1695"/>
        <w:textAlignment w:val="baseline"/>
        <w:rPr>
          <w:rStyle w:val="eop"/>
          <w:rFonts w:ascii="Calibri Light" w:hAnsi="Calibri Light" w:cs="Calibri Light"/>
          <w:color w:val="385623"/>
          <w:sz w:val="22"/>
          <w:szCs w:val="22"/>
        </w:rPr>
      </w:pPr>
      <w:r w:rsidRPr="008E05D1">
        <w:rPr>
          <w:rStyle w:val="normaltextrun"/>
          <w:rFonts w:ascii="Calibri Light" w:hAnsi="Calibri Light" w:cs="Calibri Light"/>
          <w:color w:val="385623"/>
          <w:sz w:val="22"/>
          <w:szCs w:val="22"/>
        </w:rPr>
        <w:t>INCLUDE N/A Not all areas are going to be observable in every early field experience.</w:t>
      </w:r>
      <w:r w:rsidRPr="008E05D1">
        <w:rPr>
          <w:rStyle w:val="eop"/>
          <w:rFonts w:ascii="Calibri Light" w:hAnsi="Calibri Light" w:cs="Calibri Light"/>
          <w:color w:val="385623"/>
          <w:sz w:val="22"/>
          <w:szCs w:val="22"/>
        </w:rPr>
        <w:t> </w:t>
      </w:r>
    </w:p>
    <w:p w:rsidRPr="008E05D1" w:rsidR="001A50A1" w:rsidP="1CA6300F" w:rsidRDefault="001A50A1" w14:paraId="5A2E43C9" w14:textId="07FB5FDC">
      <w:pPr>
        <w:pStyle w:val="paragraph"/>
        <w:spacing w:before="0" w:beforeAutospacing="off" w:after="0" w:afterAutospacing="off"/>
        <w:ind w:right="1695"/>
        <w:textAlignment w:val="baseline"/>
        <w:rPr>
          <w:rFonts w:ascii="Segoe UI" w:hAnsi="Segoe UI" w:cs="Segoe UI"/>
          <w:sz w:val="22"/>
          <w:szCs w:val="22"/>
        </w:rPr>
      </w:pPr>
      <w:r w:rsidRPr="1CA6300F" w:rsidR="01DED897">
        <w:rPr>
          <w:rStyle w:val="eop"/>
          <w:rFonts w:ascii="Calibri Light" w:hAnsi="Calibri Light" w:cs="Calibri Light"/>
          <w:color w:val="385623" w:themeColor="accent6" w:themeTint="FF" w:themeShade="80"/>
          <w:sz w:val="22"/>
          <w:szCs w:val="22"/>
        </w:rPr>
        <w:t xml:space="preserve">Rate each indicator: </w:t>
      </w:r>
      <w:r w:rsidRPr="1CA6300F" w:rsidR="001A50A1">
        <w:rPr>
          <w:rStyle w:val="eop"/>
          <w:rFonts w:ascii="Calibri Light" w:hAnsi="Calibri Light" w:cs="Calibri Light"/>
          <w:color w:val="385623" w:themeColor="accent6" w:themeTint="FF" w:themeShade="80"/>
          <w:sz w:val="22"/>
          <w:szCs w:val="22"/>
        </w:rPr>
        <w:t>1-Unsatisfactory 2-Emerging 3-Proficient 4-Advanced</w:t>
      </w:r>
    </w:p>
    <w:p w:rsidRPr="008E05D1" w:rsidR="00975EE0" w:rsidP="001A50A1" w:rsidRDefault="001A50A1" w14:paraId="6A957817" w14:textId="41E94532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Knowledge</w:t>
      </w:r>
    </w:p>
    <w:p w:rsidRPr="008E05D1" w:rsidR="001A50A1" w:rsidP="001A50A1" w:rsidRDefault="001A50A1" w14:paraId="36F87F7F" w14:textId="7F002A67">
      <w:pPr>
        <w:pStyle w:val="ListParagraph"/>
        <w:numPr>
          <w:ilvl w:val="0"/>
          <w:numId w:val="2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Demonstrates knowledge of central concepts, tools of inquiry, structure, standards, interactive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technologies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instructional tools.</w:t>
      </w:r>
    </w:p>
    <w:p w:rsidRPr="008E05D1" w:rsidR="001A50A1" w:rsidP="001A50A1" w:rsidRDefault="001A50A1" w14:paraId="0B3157C0" w14:textId="21F88A7E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Demonstrates knowledge of a variety of informal and formal,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formative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summative assessment methods and tools used to monitor student progress and inform instruction.</w:t>
      </w:r>
    </w:p>
    <w:p w:rsidRPr="008E05D1" w:rsidR="001A50A1" w:rsidP="001A50A1" w:rsidRDefault="001A50A1" w14:paraId="5AED0DF4" w14:textId="65FC3FD8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Develops lesson plans that demonstrate knowledge of students, content, learning activities, standards and assessment that integrate evidence-based reading and literacy instruction related to the science of reading as appropriate.</w:t>
      </w:r>
    </w:p>
    <w:p w:rsidRPr="008E05D1" w:rsidR="001A50A1" w:rsidP="001A50A1" w:rsidRDefault="001A50A1" w14:paraId="43749411" w14:textId="08167F91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Learning Environment</w:t>
      </w:r>
    </w:p>
    <w:p w:rsidRPr="008E05D1" w:rsidR="001A50A1" w:rsidP="001A50A1" w:rsidRDefault="001A50A1" w14:paraId="4A71EA09" w14:textId="27B06F41">
      <w:pPr>
        <w:pStyle w:val="ListParagraph"/>
        <w:numPr>
          <w:ilvl w:val="0"/>
          <w:numId w:val="2"/>
        </w:numPr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Develops an effective learning environment by establishing clear expectations for learning and behavior, appropriately managing the use of time, positive/effective classroom management strategies, interactive technologies, instructional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tools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resources.</w:t>
      </w:r>
    </w:p>
    <w:p w:rsidRPr="008E05D1" w:rsidR="001A50A1" w:rsidP="001A50A1" w:rsidRDefault="001A50A1" w14:paraId="57D87FEC" w14:textId="2CE35B88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Fosters a collaborative and respectful learning environment with and among students that reflects and values diversity in culture, ethnicity, gender and learning differences.</w:t>
      </w:r>
    </w:p>
    <w:p w:rsidRPr="008E05D1" w:rsidR="001A50A1" w:rsidP="001A50A1" w:rsidRDefault="001A50A1" w14:paraId="6205E232" w14:textId="1FE4CB2E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Establishes a learning environment where students are enthusiastic,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interested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motivated to work on challenging tasks and obtain learning goals. Academic progress is actively monitored and positive impact on student learning is evident.</w:t>
      </w:r>
    </w:p>
    <w:p w:rsidRPr="008E05D1" w:rsidR="001A50A1" w:rsidP="001A50A1" w:rsidRDefault="001A50A1" w14:paraId="24DEAED2" w14:textId="53616487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Personalized Learning</w:t>
      </w:r>
    </w:p>
    <w:p w:rsidRPr="008E05D1" w:rsidR="001A50A1" w:rsidP="001A50A1" w:rsidRDefault="001A50A1" w14:paraId="59BB74AB" w14:textId="79B477A4">
      <w:pPr>
        <w:pStyle w:val="ListParagraph"/>
        <w:numPr>
          <w:ilvl w:val="0"/>
          <w:numId w:val="2"/>
        </w:num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Instructional methods are differentiated to address individual student interests, varied learning needs and assets. </w:t>
      </w:r>
      <w:r w:rsidRPr="008E05D1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:rsidRPr="008E05D1" w:rsidR="001A50A1" w:rsidP="001A50A1" w:rsidRDefault="001A50A1" w14:paraId="00A29ED8" w14:textId="4BEA1E25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Observe, document, and assess how each student behaves, learns, and interacts to provide academic feedback that improves students’ understanding of their own progress and helps the candidate adjust instruction. </w:t>
      </w:r>
    </w:p>
    <w:p w:rsidRPr="008E05D1" w:rsidR="001A50A1" w:rsidP="001A50A1" w:rsidRDefault="001A50A1" w14:paraId="2D98A147" w14:textId="5918558E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Instructional methods include a variety of strategies to engage students in conceptual understanding, reasoning, critical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thinking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problem solving that reflect the diversity among learners.</w:t>
      </w:r>
    </w:p>
    <w:p w:rsidRPr="008E05D1" w:rsidR="001A50A1" w:rsidP="001A50A1" w:rsidRDefault="001A50A1" w14:paraId="55BB727E" w14:textId="423D9F94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Demonstrates the use of questioning and informal assessment techniques that support students’ connections to content and helps establish a deeper understanding of complex material.</w:t>
      </w:r>
    </w:p>
    <w:p w:rsidRPr="008E05D1" w:rsidR="001A50A1" w:rsidP="001A50A1" w:rsidRDefault="001A50A1" w14:paraId="7312870E" w14:textId="4DC30539">
      <w:pPr>
        <w:pStyle w:val="Heading2"/>
        <w:rPr>
          <w:rStyle w:val="normaltextrun"/>
          <w:sz w:val="22"/>
          <w:szCs w:val="22"/>
        </w:rPr>
      </w:pPr>
      <w:r w:rsidRPr="008E05D1">
        <w:rPr>
          <w:rStyle w:val="normaltextrun"/>
          <w:sz w:val="22"/>
          <w:szCs w:val="22"/>
        </w:rPr>
        <w:t>Community</w:t>
      </w:r>
    </w:p>
    <w:p w:rsidRPr="008E05D1" w:rsidR="001A50A1" w:rsidP="001A50A1" w:rsidRDefault="001A50A1" w14:paraId="7100E272" w14:textId="65B22320">
      <w:pPr>
        <w:pStyle w:val="ListParagraph"/>
        <w:numPr>
          <w:ilvl w:val="0"/>
          <w:numId w:val="2"/>
        </w:num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Collaborates and communicates effectively with colleagues as well as families and adults responsible for students in the classroom to promote student growth and development. </w:t>
      </w:r>
      <w:r w:rsidRPr="008E05D1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:rsidRPr="008E05D1" w:rsidR="001A50A1" w:rsidP="001A50A1" w:rsidRDefault="001A50A1" w14:paraId="5FB96059" w14:textId="387062D7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Participates effectively and appropriately within the professional community.</w:t>
      </w:r>
    </w:p>
    <w:p w:rsidRPr="008E05D1" w:rsidR="001A50A1" w:rsidP="001A50A1" w:rsidRDefault="001A50A1" w14:paraId="54692892" w14:textId="23906461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Reflection</w:t>
      </w:r>
    </w:p>
    <w:p w:rsidRPr="008E05D1" w:rsidR="001A50A1" w:rsidP="001A50A1" w:rsidRDefault="001A50A1" w14:paraId="24B6C528" w14:textId="182EFE57">
      <w:pPr>
        <w:pStyle w:val="ListParagraph"/>
        <w:numPr>
          <w:ilvl w:val="0"/>
          <w:numId w:val="2"/>
        </w:num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Reflects upon understanding of cultural, ethnic, gender and learning differences and one’s own biases. </w:t>
      </w:r>
      <w:r w:rsidRPr="008E05D1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:rsidRPr="008E05D1" w:rsidR="001A50A1" w:rsidP="001A50A1" w:rsidRDefault="001A50A1" w14:paraId="2E0F3347" w14:textId="1A682074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Reflects on student evidence and utilizes analytical skills to adapt planning, </w:t>
      </w:r>
      <w:proofErr w:type="gramStart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instruction</w:t>
      </w:r>
      <w:proofErr w:type="gramEnd"/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and assessment.</w:t>
      </w:r>
    </w:p>
    <w:p w:rsidRPr="008E05D1" w:rsidR="001A50A1" w:rsidP="001A50A1" w:rsidRDefault="001A50A1" w14:paraId="6DA2B198" w14:textId="46CE728F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Reflects on ways to improve as an individual, as part of the school community, and as part of the teaching profession.</w:t>
      </w:r>
    </w:p>
    <w:p w:rsidRPr="008E05D1" w:rsidR="001A50A1" w:rsidP="001A50A1" w:rsidRDefault="001A50A1" w14:paraId="39918879" w14:textId="10C74DC8">
      <w:pPr>
        <w:pStyle w:val="Heading2"/>
        <w:rPr>
          <w:sz w:val="22"/>
          <w:szCs w:val="22"/>
        </w:rPr>
      </w:pPr>
      <w:r w:rsidRPr="008E05D1">
        <w:rPr>
          <w:sz w:val="22"/>
          <w:szCs w:val="22"/>
        </w:rPr>
        <w:t>Growth &amp; Professional Responsibility</w:t>
      </w:r>
    </w:p>
    <w:p w:rsidRPr="008E05D1" w:rsidR="001A50A1" w:rsidP="001A50A1" w:rsidRDefault="001A50A1" w14:paraId="15DB9395" w14:textId="2A89F621">
      <w:pPr>
        <w:pStyle w:val="ListParagraph"/>
        <w:numPr>
          <w:ilvl w:val="0"/>
          <w:numId w:val="2"/>
        </w:numPr>
        <w:rPr>
          <w:rStyle w:val="eop"/>
          <w:rFonts w:ascii="Calibri Light" w:hAnsi="Calibri Light" w:cs="Calibri Light"/>
          <w:color w:val="000000"/>
          <w:shd w:val="clear" w:color="auto" w:fill="FFFFFF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Accepts constructive criticism and suggestions and incorporates them in subsequent actions. </w:t>
      </w:r>
      <w:r w:rsidRPr="008E05D1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:rsidRPr="008E05D1" w:rsidR="001A50A1" w:rsidP="001A50A1" w:rsidRDefault="001A50A1" w14:paraId="512F9C3F" w14:textId="0CFEEE6D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bdr w:val="none" w:color="auto" w:sz="0" w:space="0" w:frame="1"/>
        </w:rPr>
        <w:t>Accepts professional responsibilities communicated by SoE, teacher and school for instructional and non-instructional activities.</w:t>
      </w:r>
    </w:p>
    <w:p w:rsidRPr="008E05D1" w:rsidR="008E05D1" w:rsidP="008E05D1" w:rsidRDefault="001A50A1" w14:paraId="6C7B3BC0" w14:textId="0FA179D4">
      <w:pPr>
        <w:pStyle w:val="ListParagraph"/>
        <w:numPr>
          <w:ilvl w:val="0"/>
          <w:numId w:val="2"/>
        </w:numPr>
        <w:rPr>
          <w:rStyle w:val="normaltextrun"/>
        </w:rPr>
      </w:pPr>
      <w:r w:rsidRP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Demonstrates initiative and confidence in making the most of educational experiences. </w:t>
      </w:r>
    </w:p>
    <w:p w:rsidRPr="008E05D1" w:rsidR="008E05D1" w:rsidP="008E05D1" w:rsidRDefault="008E05D1" w14:paraId="3617EA87" w14:textId="24438692">
      <w:pPr>
        <w:pStyle w:val="ListParagraph"/>
        <w:numPr>
          <w:ilvl w:val="0"/>
          <w:numId w:val="2"/>
        </w:numPr>
        <w:rPr>
          <w:rStyle w:val="normaltextrun"/>
        </w:rPr>
      </w:pPr>
      <w:r w:rsid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What are the </w:t>
      </w:r>
      <w:r w:rsidR="7A06D437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candidate</w:t>
      </w:r>
      <w:r w:rsid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’s strengths?</w:t>
      </w:r>
    </w:p>
    <w:p w:rsidRPr="008E05D1" w:rsidR="008E05D1" w:rsidP="7B8394D2" w:rsidRDefault="008E05D1" w14:paraId="3C49439B" w14:textId="02B98B1E">
      <w:pPr>
        <w:pStyle w:val="ListParagraph"/>
        <w:numPr>
          <w:ilvl w:val="0"/>
          <w:numId w:val="2"/>
        </w:numPr>
        <w:rPr>
          <w:rStyle w:val="normaltextrun"/>
          <w:rFonts w:ascii="Calibri Light" w:hAnsi="Calibri Light" w:cs="Calibri Light"/>
          <w:color w:val="000000" w:themeColor="text1" w:themeTint="FF" w:themeShade="FF"/>
        </w:rPr>
      </w:pPr>
      <w:r w:rsid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What aspects of teaching would you recommend the </w:t>
      </w:r>
      <w:r w:rsidR="63FA5AA6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candidate </w:t>
      </w:r>
      <w:r w:rsidR="008E05D1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focus on developing further?</w:t>
      </w:r>
    </w:p>
    <w:sectPr w:rsidRPr="008E05D1" w:rsidR="008E05D1" w:rsidSect="001A50A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24D"/>
    <w:multiLevelType w:val="hybridMultilevel"/>
    <w:tmpl w:val="5DEA609A"/>
    <w:lvl w:ilvl="0" w:tplc="7AD60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26B88"/>
    <w:multiLevelType w:val="hybridMultilevel"/>
    <w:tmpl w:val="6F52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2771">
    <w:abstractNumId w:val="1"/>
  </w:num>
  <w:num w:numId="2" w16cid:durableId="2199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A1"/>
    <w:rsid w:val="001A50A1"/>
    <w:rsid w:val="003E6E6F"/>
    <w:rsid w:val="005013BF"/>
    <w:rsid w:val="006D562E"/>
    <w:rsid w:val="008E05D1"/>
    <w:rsid w:val="008E6A4A"/>
    <w:rsid w:val="00975EE0"/>
    <w:rsid w:val="01DED897"/>
    <w:rsid w:val="1CA6300F"/>
    <w:rsid w:val="63FA5AA6"/>
    <w:rsid w:val="7A06D437"/>
    <w:rsid w:val="7B83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CCD0"/>
  <w15:chartTrackingRefBased/>
  <w15:docId w15:val="{789AF2A5-3962-4794-8FD7-8B42679F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A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A50A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A50A1"/>
    <w:pPr>
      <w:ind w:left="720"/>
      <w:contextualSpacing/>
    </w:pPr>
  </w:style>
  <w:style w:type="character" w:styleId="normaltextrun" w:customStyle="1">
    <w:name w:val="normaltextrun"/>
    <w:basedOn w:val="DefaultParagraphFont"/>
    <w:rsid w:val="001A50A1"/>
  </w:style>
  <w:style w:type="character" w:styleId="eop" w:customStyle="1">
    <w:name w:val="eop"/>
    <w:basedOn w:val="DefaultParagraphFont"/>
    <w:rsid w:val="001A50A1"/>
  </w:style>
  <w:style w:type="paragraph" w:styleId="paragraph" w:customStyle="1">
    <w:name w:val="paragraph"/>
    <w:basedOn w:val="Normal"/>
    <w:rsid w:val="001A50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8c53e-a2cb-4963-98a4-c679061d7278">
      <Terms xmlns="http://schemas.microsoft.com/office/infopath/2007/PartnerControls"/>
    </lcf76f155ced4ddcb4097134ff3c332f>
    <TaxCatchAll xmlns="1c3a56d1-9661-45ca-9d73-2c4d59d378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F24054E3C9340950F25CCBE0118C4" ma:contentTypeVersion="15" ma:contentTypeDescription="Create a new document." ma:contentTypeScope="" ma:versionID="a4e7731d19c4f91c42f7e5374ebc3961">
  <xsd:schema xmlns:xsd="http://www.w3.org/2001/XMLSchema" xmlns:xs="http://www.w3.org/2001/XMLSchema" xmlns:p="http://schemas.microsoft.com/office/2006/metadata/properties" xmlns:ns2="82d8c53e-a2cb-4963-98a4-c679061d7278" xmlns:ns3="1c3a56d1-9661-45ca-9d73-2c4d59d37805" targetNamespace="http://schemas.microsoft.com/office/2006/metadata/properties" ma:root="true" ma:fieldsID="4901b0a61aebc91e3492f8db4a660d3c" ns2:_="" ns3:_="">
    <xsd:import namespace="82d8c53e-a2cb-4963-98a4-c679061d7278"/>
    <xsd:import namespace="1c3a56d1-9661-45ca-9d73-2c4d59d37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8c53e-a2cb-4963-98a4-c679061d7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56d1-9661-45ca-9d73-2c4d59d3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09c5b3-6938-4249-a6c9-2b2a3d91c311}" ma:internalName="TaxCatchAll" ma:showField="CatchAllData" ma:web="1c3a56d1-9661-45ca-9d73-2c4d59d3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5A669-8627-4F07-ACDA-A9A365E2A894}">
  <ds:schemaRefs>
    <ds:schemaRef ds:uri="http://schemas.microsoft.com/office/2006/metadata/properties"/>
    <ds:schemaRef ds:uri="http://schemas.microsoft.com/office/infopath/2007/PartnerControls"/>
    <ds:schemaRef ds:uri="82d8c53e-a2cb-4963-98a4-c679061d7278"/>
    <ds:schemaRef ds:uri="1c3a56d1-9661-45ca-9d73-2c4d59d37805"/>
  </ds:schemaRefs>
</ds:datastoreItem>
</file>

<file path=customXml/itemProps2.xml><?xml version="1.0" encoding="utf-8"?>
<ds:datastoreItem xmlns:ds="http://schemas.openxmlformats.org/officeDocument/2006/customXml" ds:itemID="{195AD964-B37E-4785-8FD8-170864EEA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B0AFD-B436-4BF1-9BBB-5D8FC9789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8c53e-a2cb-4963-98a4-c679061d7278"/>
    <ds:schemaRef ds:uri="1c3a56d1-9661-45ca-9d73-2c4d59d3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Hunnicutt, Tyna Adel</dc:creator>
  <keywords/>
  <dc:description/>
  <lastModifiedBy>Hunnicutt, Tyna Adel</lastModifiedBy>
  <revision>4</revision>
  <dcterms:created xsi:type="dcterms:W3CDTF">2024-09-13T17:57:00.0000000Z</dcterms:created>
  <dcterms:modified xsi:type="dcterms:W3CDTF">2024-09-25T13:52:10.7898265Z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0x010100D78F24054E3C9340950F25CCBE0118C4</vt:lpwstr>
  </property>
  <property fmtid="{D5CDD505-2E9C-101B-9397-08002B2CF9AE}" pid="3" name="MediaServiceImageTags">
    <vt:lpwstr/>
  </property>
</Properties>
</file>